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70B30" w14:textId="77777777" w:rsidR="00621988" w:rsidRPr="001B0FAA" w:rsidRDefault="00621988" w:rsidP="003D6F71">
      <w:pPr>
        <w:pStyle w:val="Heading1"/>
        <w:spacing w:before="240" w:after="240"/>
      </w:pPr>
      <w:r w:rsidRPr="001B0FAA">
        <w:t>STRATEGIES FOR MANAGING THE PRE-EMPLOYMENT TRANSITION SERVICES 15 PERCENT MINIMUM RESERVE REQUIREMENT</w:t>
      </w:r>
    </w:p>
    <w:p w14:paraId="364526C0" w14:textId="014A45F9" w:rsidR="00621988" w:rsidRPr="00C01E13" w:rsidRDefault="00621988" w:rsidP="009B68DD">
      <w:pPr>
        <w:jc w:val="center"/>
        <w:rPr>
          <w:rFonts w:ascii="Arial" w:hAnsi="Arial" w:cs="Arial"/>
          <w:color w:val="2B5258" w:themeColor="accent5" w:themeShade="80"/>
          <w:sz w:val="24"/>
          <w:szCs w:val="24"/>
        </w:rPr>
      </w:pPr>
      <w:r w:rsidRPr="00C01E13">
        <w:rPr>
          <w:rFonts w:ascii="Arial" w:hAnsi="Arial" w:cs="Arial"/>
          <w:b/>
          <w:bCs/>
          <w:color w:val="2B5258" w:themeColor="accent5" w:themeShade="80"/>
          <w:sz w:val="24"/>
          <w:szCs w:val="24"/>
        </w:rPr>
        <w:t xml:space="preserve">If your agency is struggling with the 15% minimum reserve requirement, </w:t>
      </w:r>
      <w:r w:rsidR="00C01E13">
        <w:rPr>
          <w:rFonts w:ascii="Arial" w:hAnsi="Arial" w:cs="Arial"/>
          <w:b/>
          <w:bCs/>
          <w:color w:val="2B5258" w:themeColor="accent5" w:themeShade="80"/>
          <w:sz w:val="24"/>
          <w:szCs w:val="24"/>
        </w:rPr>
        <w:br/>
      </w:r>
      <w:r w:rsidRPr="00C01E13">
        <w:rPr>
          <w:rFonts w:ascii="Arial" w:hAnsi="Arial" w:cs="Arial"/>
          <w:b/>
          <w:bCs/>
          <w:color w:val="2B5258" w:themeColor="accent5" w:themeShade="80"/>
          <w:sz w:val="24"/>
          <w:szCs w:val="24"/>
        </w:rPr>
        <w:t>you are not alone!</w:t>
      </w:r>
    </w:p>
    <w:p w14:paraId="15EC6666" w14:textId="77777777" w:rsidR="00621988" w:rsidRPr="00B40B91" w:rsidRDefault="00621988" w:rsidP="00621988">
      <w:pPr>
        <w:rPr>
          <w:rFonts w:ascii="Arial" w:hAnsi="Arial" w:cs="Arial"/>
          <w:color w:val="3B4658" w:themeColor="accent4" w:themeShade="80"/>
          <w:sz w:val="24"/>
          <w:szCs w:val="24"/>
        </w:rPr>
      </w:pPr>
      <w:r w:rsidRPr="00B40B91">
        <w:rPr>
          <w:rFonts w:ascii="Arial" w:hAnsi="Arial" w:cs="Arial"/>
          <w:color w:val="3B4658" w:themeColor="accent4" w:themeShade="80"/>
          <w:sz w:val="24"/>
          <w:szCs w:val="24"/>
        </w:rPr>
        <w:t>State VR agencies vary across the country in meeting the pre-employment transition services 15 percent minimum reserve requirement. Some states continue to struggle to spend the minimum reserve while others are s</w:t>
      </w:r>
      <w:r w:rsidR="00E81B9D" w:rsidRPr="00B40B91">
        <w:rPr>
          <w:rFonts w:ascii="Arial" w:hAnsi="Arial" w:cs="Arial"/>
          <w:color w:val="3B4658" w:themeColor="accent4" w:themeShade="80"/>
          <w:sz w:val="24"/>
          <w:szCs w:val="24"/>
        </w:rPr>
        <w:t xml:space="preserve">pending more than 15 percent </w:t>
      </w:r>
      <w:r w:rsidRPr="00B40B91">
        <w:rPr>
          <w:rFonts w:ascii="Arial" w:hAnsi="Arial" w:cs="Arial"/>
          <w:color w:val="3B4658" w:themeColor="accent4" w:themeShade="80"/>
          <w:sz w:val="24"/>
          <w:szCs w:val="24"/>
        </w:rPr>
        <w:t>each year. Although this reserve requirement is a minimum threshold and not a maximum requirement, it is essential State VR agencies continuously evaluate and make appropriate adjustments to the fiscal forecast. </w:t>
      </w:r>
    </w:p>
    <w:p w14:paraId="292117F2" w14:textId="750F8708" w:rsidR="00621988" w:rsidRPr="00B40B91" w:rsidRDefault="00621988" w:rsidP="00621988">
      <w:pPr>
        <w:rPr>
          <w:rFonts w:ascii="Arial" w:hAnsi="Arial" w:cs="Arial"/>
          <w:color w:val="3B4658" w:themeColor="accent4" w:themeShade="80"/>
          <w:sz w:val="24"/>
          <w:szCs w:val="24"/>
        </w:rPr>
      </w:pPr>
      <w:r w:rsidRPr="00B40B91">
        <w:rPr>
          <w:rFonts w:ascii="Arial" w:hAnsi="Arial" w:cs="Arial"/>
          <w:color w:val="3B4658" w:themeColor="accent4" w:themeShade="80"/>
          <w:sz w:val="24"/>
          <w:szCs w:val="24"/>
        </w:rPr>
        <w:t xml:space="preserve">Continuous financial forecasting plays a key role for State VR agencies when conducting strategic planning and developing, implementing, and or re-evaluating a sustainable model for the delivery of pre-employment transition services statewide to all students with disabilities who need them. </w:t>
      </w:r>
      <w:r w:rsidR="009D12DE">
        <w:rPr>
          <w:rFonts w:ascii="Arial" w:hAnsi="Arial" w:cs="Arial"/>
          <w:color w:val="3B4658" w:themeColor="accent4" w:themeShade="80"/>
          <w:sz w:val="24"/>
          <w:szCs w:val="24"/>
        </w:rPr>
        <w:t xml:space="preserve">Reference </w:t>
      </w:r>
      <w:r w:rsidR="00D26302" w:rsidRPr="00F67E1D">
        <w:rPr>
          <w:rFonts w:ascii="Arial" w:hAnsi="Arial" w:cs="Arial"/>
          <w:color w:val="3B4658" w:themeColor="accent4" w:themeShade="80"/>
          <w:sz w:val="24"/>
          <w:szCs w:val="24"/>
        </w:rPr>
        <w:t>Pre-employment Transition Services Strategic Planning Checklist</w:t>
      </w:r>
      <w:r w:rsidR="009D12DE">
        <w:rPr>
          <w:rFonts w:ascii="Arial" w:hAnsi="Arial" w:cs="Arial"/>
          <w:color w:val="3B4658" w:themeColor="accent4" w:themeShade="80"/>
          <w:sz w:val="24"/>
          <w:szCs w:val="24"/>
        </w:rPr>
        <w:t>.</w:t>
      </w:r>
    </w:p>
    <w:p w14:paraId="75A05DED" w14:textId="77777777" w:rsidR="00621988" w:rsidRPr="00B40B91" w:rsidRDefault="00621988" w:rsidP="00621988">
      <w:pPr>
        <w:rPr>
          <w:rFonts w:ascii="Arial" w:hAnsi="Arial" w:cs="Arial"/>
          <w:color w:val="3B4658" w:themeColor="accent4" w:themeShade="80"/>
          <w:sz w:val="24"/>
          <w:szCs w:val="24"/>
        </w:rPr>
      </w:pPr>
      <w:r w:rsidRPr="00B40B91">
        <w:rPr>
          <w:rFonts w:ascii="Arial" w:hAnsi="Arial" w:cs="Arial"/>
          <w:color w:val="3B4658" w:themeColor="accent4" w:themeShade="80"/>
          <w:sz w:val="24"/>
          <w:szCs w:val="24"/>
        </w:rPr>
        <w:t>Each State agency is unique in organizational structure and customer makeup. Listed below are ten strategies for managing the 15% requirement. These strategies will provoke thought and offer potential ways of looking at resource management around pre-employment transition services.</w:t>
      </w:r>
    </w:p>
    <w:p w14:paraId="24404416" w14:textId="5C01FF96" w:rsidR="00621988" w:rsidRPr="00457D0D" w:rsidRDefault="00457D0D" w:rsidP="00457D0D">
      <w:pPr>
        <w:pStyle w:val="Heading2"/>
      </w:pPr>
      <w:r w:rsidRPr="00457D0D">
        <w:t>10 Strategies:</w:t>
      </w:r>
    </w:p>
    <w:p w14:paraId="5080C48D" w14:textId="77777777" w:rsidR="00621988" w:rsidRPr="001133C6" w:rsidRDefault="00621988" w:rsidP="00B40B91">
      <w:pPr>
        <w:numPr>
          <w:ilvl w:val="0"/>
          <w:numId w:val="1"/>
        </w:numPr>
        <w:spacing w:line="240" w:lineRule="auto"/>
        <w:rPr>
          <w:rFonts w:ascii="Arial" w:hAnsi="Arial" w:cs="Arial"/>
          <w:b/>
          <w:bCs/>
          <w:color w:val="3B4658" w:themeColor="accent4" w:themeShade="80"/>
          <w:sz w:val="24"/>
          <w:szCs w:val="24"/>
        </w:rPr>
      </w:pPr>
      <w:r w:rsidRPr="001133C6">
        <w:rPr>
          <w:rFonts w:ascii="Arial" w:hAnsi="Arial" w:cs="Arial"/>
          <w:b/>
          <w:bCs/>
          <w:color w:val="3B4658" w:themeColor="accent4" w:themeShade="80"/>
          <w:sz w:val="24"/>
          <w:szCs w:val="24"/>
        </w:rPr>
        <w:t>Review your current model or met</w:t>
      </w:r>
      <w:r w:rsidR="00B40B91" w:rsidRPr="001133C6">
        <w:rPr>
          <w:rFonts w:ascii="Arial" w:hAnsi="Arial" w:cs="Arial"/>
          <w:b/>
          <w:bCs/>
          <w:color w:val="3B4658" w:themeColor="accent4" w:themeShade="80"/>
          <w:sz w:val="24"/>
          <w:szCs w:val="24"/>
        </w:rPr>
        <w:t>hod of service delivery</w:t>
      </w:r>
      <w:r w:rsidRPr="001133C6">
        <w:rPr>
          <w:rFonts w:ascii="Arial" w:hAnsi="Arial" w:cs="Arial"/>
          <w:b/>
          <w:bCs/>
          <w:color w:val="3B4658" w:themeColor="accent4" w:themeShade="80"/>
          <w:sz w:val="24"/>
          <w:szCs w:val="24"/>
        </w:rPr>
        <w:t>. </w:t>
      </w:r>
    </w:p>
    <w:p w14:paraId="770136C7" w14:textId="77777777" w:rsidR="00621988" w:rsidRPr="00B40B91" w:rsidRDefault="00621988" w:rsidP="00E81B9D">
      <w:pPr>
        <w:numPr>
          <w:ilvl w:val="1"/>
          <w:numId w:val="2"/>
        </w:numPr>
        <w:spacing w:after="0"/>
        <w:rPr>
          <w:rFonts w:ascii="Arial" w:hAnsi="Arial" w:cs="Arial"/>
          <w:color w:val="3B4658" w:themeColor="accent4" w:themeShade="80"/>
          <w:sz w:val="24"/>
          <w:szCs w:val="24"/>
        </w:rPr>
      </w:pPr>
      <w:r w:rsidRPr="00B40B91">
        <w:rPr>
          <w:rFonts w:ascii="Arial" w:hAnsi="Arial" w:cs="Arial"/>
          <w:color w:val="3B4658" w:themeColor="accent4" w:themeShade="80"/>
          <w:sz w:val="24"/>
          <w:szCs w:val="24"/>
        </w:rPr>
        <w:t>Is it working, and is it sustainable?</w:t>
      </w:r>
    </w:p>
    <w:p w14:paraId="049F5D2B" w14:textId="77777777" w:rsidR="00621988" w:rsidRPr="00B40B91" w:rsidRDefault="00621988" w:rsidP="00621988">
      <w:pPr>
        <w:numPr>
          <w:ilvl w:val="1"/>
          <w:numId w:val="2"/>
        </w:numPr>
        <w:rPr>
          <w:rFonts w:ascii="Arial" w:hAnsi="Arial" w:cs="Arial"/>
          <w:color w:val="3B4658" w:themeColor="accent4" w:themeShade="80"/>
          <w:sz w:val="24"/>
          <w:szCs w:val="24"/>
        </w:rPr>
      </w:pPr>
      <w:r w:rsidRPr="00B40B91">
        <w:rPr>
          <w:rFonts w:ascii="Arial" w:hAnsi="Arial" w:cs="Arial"/>
          <w:color w:val="3B4658" w:themeColor="accent4" w:themeShade="80"/>
          <w:sz w:val="24"/>
          <w:szCs w:val="24"/>
        </w:rPr>
        <w:t>Are these programs/services reasonable, allocable, allowable, and necessary, and provided by the most efficient use of State agency funds? </w:t>
      </w:r>
    </w:p>
    <w:p w14:paraId="70C5EB3F" w14:textId="77777777" w:rsidR="00621988" w:rsidRPr="001133C6" w:rsidRDefault="00621988" w:rsidP="00B40B91">
      <w:pPr>
        <w:numPr>
          <w:ilvl w:val="0"/>
          <w:numId w:val="2"/>
        </w:numPr>
        <w:spacing w:line="240" w:lineRule="auto"/>
        <w:rPr>
          <w:rFonts w:ascii="Arial" w:hAnsi="Arial" w:cs="Arial"/>
          <w:b/>
          <w:bCs/>
          <w:color w:val="3B4658" w:themeColor="accent4" w:themeShade="80"/>
          <w:sz w:val="24"/>
          <w:szCs w:val="24"/>
        </w:rPr>
      </w:pPr>
      <w:r w:rsidRPr="001133C6">
        <w:rPr>
          <w:rFonts w:ascii="Arial" w:hAnsi="Arial" w:cs="Arial"/>
          <w:b/>
          <w:bCs/>
          <w:color w:val="3B4658" w:themeColor="accent4" w:themeShade="80"/>
          <w:sz w:val="24"/>
          <w:szCs w:val="24"/>
        </w:rPr>
        <w:t>Know the amount of your minimum reserve requirement and how this amount may be affected if you have carryover, relinquish funds, or get additional funds through reallotment.</w:t>
      </w:r>
      <w:r w:rsidRPr="001133C6">
        <w:rPr>
          <w:rFonts w:ascii="Arial" w:hAnsi="Arial" w:cs="Arial"/>
          <w:color w:val="3B4658" w:themeColor="accent4" w:themeShade="80"/>
          <w:sz w:val="24"/>
          <w:szCs w:val="24"/>
        </w:rPr>
        <w:t> </w:t>
      </w:r>
    </w:p>
    <w:p w14:paraId="58258DA2" w14:textId="4CECDE79" w:rsidR="00AB4F8E" w:rsidRPr="00A644EB" w:rsidRDefault="00621988" w:rsidP="00A644EB">
      <w:pPr>
        <w:numPr>
          <w:ilvl w:val="1"/>
          <w:numId w:val="2"/>
        </w:numPr>
        <w:rPr>
          <w:rFonts w:ascii="Arial" w:hAnsi="Arial" w:cs="Arial"/>
          <w:color w:val="002060"/>
          <w:sz w:val="24"/>
          <w:szCs w:val="24"/>
        </w:rPr>
      </w:pPr>
      <w:r w:rsidRPr="00B40B91">
        <w:rPr>
          <w:rFonts w:ascii="Arial" w:hAnsi="Arial" w:cs="Arial"/>
          <w:color w:val="3B4658" w:themeColor="accent4" w:themeShade="80"/>
          <w:sz w:val="24"/>
          <w:szCs w:val="24"/>
        </w:rPr>
        <w:t xml:space="preserve">For instance, if you consider relinquishing funds to reduce your pre-employment transition services 15% reserve requirement, you want to fully </w:t>
      </w:r>
      <w:r w:rsidRPr="00B40B91">
        <w:rPr>
          <w:rFonts w:ascii="Arial" w:hAnsi="Arial" w:cs="Arial"/>
          <w:color w:val="3B4658" w:themeColor="accent4" w:themeShade="80"/>
          <w:sz w:val="24"/>
          <w:szCs w:val="24"/>
        </w:rPr>
        <w:lastRenderedPageBreak/>
        <w:t xml:space="preserve">understand the impact of that decision by reading question two in the FAQ </w:t>
      </w:r>
      <w:hyperlink r:id="rId11" w:history="1">
        <w:r w:rsidRPr="007F692C">
          <w:rPr>
            <w:rStyle w:val="Hyperlink"/>
            <w:rFonts w:ascii="Arial" w:hAnsi="Arial" w:cs="Arial"/>
            <w:color w:val="002060"/>
            <w:sz w:val="24"/>
            <w:szCs w:val="24"/>
          </w:rPr>
          <w:t>RSA Pre-employment Transition Services FAQs</w:t>
        </w:r>
      </w:hyperlink>
      <w:r w:rsidRPr="007F692C">
        <w:rPr>
          <w:rFonts w:ascii="Arial" w:hAnsi="Arial" w:cs="Arial"/>
          <w:color w:val="002060"/>
          <w:sz w:val="24"/>
          <w:szCs w:val="24"/>
        </w:rPr>
        <w:t>.</w:t>
      </w:r>
    </w:p>
    <w:p w14:paraId="45383BA8" w14:textId="38816C53" w:rsidR="00EE3A85" w:rsidRPr="003C4566" w:rsidRDefault="00621988" w:rsidP="00D82CDB">
      <w:pPr>
        <w:pStyle w:val="ListParagraph"/>
        <w:numPr>
          <w:ilvl w:val="0"/>
          <w:numId w:val="13"/>
        </w:numPr>
        <w:spacing w:line="240" w:lineRule="auto"/>
        <w:rPr>
          <w:color w:val="2B5258" w:themeColor="accent5" w:themeShade="80"/>
        </w:rPr>
      </w:pPr>
      <w:r w:rsidRPr="003C4566">
        <w:rPr>
          <w:rFonts w:ascii="Arial" w:hAnsi="Arial" w:cs="Arial"/>
          <w:i/>
          <w:iCs/>
          <w:color w:val="2B5258" w:themeColor="accent5" w:themeShade="80"/>
          <w:sz w:val="24"/>
          <w:szCs w:val="24"/>
        </w:rPr>
        <w:t xml:space="preserve">Can a State relinquish funds during reallotment and have the returned funds reduce the pre-employment transition </w:t>
      </w:r>
      <w:proofErr w:type="gramStart"/>
      <w:r w:rsidRPr="003C4566">
        <w:rPr>
          <w:rFonts w:ascii="Arial" w:hAnsi="Arial" w:cs="Arial"/>
          <w:i/>
          <w:iCs/>
          <w:color w:val="2B5258" w:themeColor="accent5" w:themeShade="80"/>
          <w:sz w:val="24"/>
          <w:szCs w:val="24"/>
        </w:rPr>
        <w:t>service</w:t>
      </w:r>
      <w:proofErr w:type="gramEnd"/>
      <w:r w:rsidRPr="003C4566">
        <w:rPr>
          <w:rFonts w:ascii="Arial" w:hAnsi="Arial" w:cs="Arial"/>
          <w:i/>
          <w:iCs/>
          <w:color w:val="2B5258" w:themeColor="accent5" w:themeShade="80"/>
          <w:sz w:val="24"/>
          <w:szCs w:val="24"/>
        </w:rPr>
        <w:t xml:space="preserve"> </w:t>
      </w:r>
    </w:p>
    <w:p w14:paraId="5DD06305" w14:textId="77777777" w:rsidR="00621988" w:rsidRPr="004A34B0" w:rsidRDefault="00621988" w:rsidP="00EE3A85">
      <w:pPr>
        <w:pStyle w:val="ListParagraph"/>
        <w:spacing w:line="240" w:lineRule="auto"/>
        <w:ind w:left="2160"/>
        <w:rPr>
          <w:color w:val="2B5258" w:themeColor="accent5" w:themeShade="80"/>
          <w:sz w:val="22"/>
          <w:szCs w:val="22"/>
        </w:rPr>
      </w:pPr>
      <w:r w:rsidRPr="004A34B0">
        <w:rPr>
          <w:rFonts w:ascii="Arial" w:hAnsi="Arial" w:cs="Arial"/>
          <w:i/>
          <w:iCs/>
          <w:color w:val="2B5258" w:themeColor="accent5" w:themeShade="80"/>
          <w:sz w:val="22"/>
          <w:szCs w:val="22"/>
        </w:rPr>
        <w:t>requirement dollar for dollar? No. The impact of relinquished funds is proportional (see FAQ 1 above). In accordance with section 110(d)(1), a State must reserve at least 15 percent of its State allotment, under the VR grant, for the provision of pre-employment transition services under section 113 of the Rehabilitation Act. Funds relinquished in the year of appropriation only reduce the amount of the State’s allotment upon which the reserved amount is based.</w:t>
      </w:r>
    </w:p>
    <w:p w14:paraId="1E73A44A" w14:textId="77777777" w:rsidR="001133C6" w:rsidRPr="001133C6" w:rsidRDefault="001133C6" w:rsidP="001133C6">
      <w:pPr>
        <w:numPr>
          <w:ilvl w:val="0"/>
          <w:numId w:val="3"/>
        </w:numPr>
        <w:tabs>
          <w:tab w:val="clear" w:pos="720"/>
          <w:tab w:val="num" w:pos="1440"/>
        </w:tabs>
        <w:ind w:left="1440"/>
        <w:rPr>
          <w:rFonts w:ascii="Arial" w:hAnsi="Arial" w:cs="Arial"/>
          <w:color w:val="3B4658" w:themeColor="accent4" w:themeShade="80"/>
          <w:sz w:val="24"/>
          <w:szCs w:val="24"/>
        </w:rPr>
      </w:pPr>
      <w:r w:rsidRPr="001133C6">
        <w:rPr>
          <w:rFonts w:ascii="Arial" w:hAnsi="Arial" w:cs="Arial"/>
          <w:color w:val="3B4658" w:themeColor="accent4" w:themeShade="80"/>
          <w:sz w:val="24"/>
          <w:szCs w:val="24"/>
        </w:rPr>
        <w:t xml:space="preserve">Refer to the </w:t>
      </w:r>
      <w:hyperlink r:id="rId12" w:history="1">
        <w:r w:rsidRPr="007F692C">
          <w:rPr>
            <w:rStyle w:val="Hyperlink"/>
            <w:rFonts w:ascii="Arial" w:hAnsi="Arial" w:cs="Arial"/>
            <w:color w:val="002060"/>
            <w:sz w:val="24"/>
            <w:szCs w:val="24"/>
          </w:rPr>
          <w:t>RSA Pre-employment Transition Services FAQs</w:t>
        </w:r>
      </w:hyperlink>
      <w:r w:rsidRPr="001133C6">
        <w:rPr>
          <w:rFonts w:ascii="Arial" w:hAnsi="Arial" w:cs="Arial"/>
          <w:color w:val="3B4658" w:themeColor="accent4" w:themeShade="80"/>
          <w:sz w:val="24"/>
          <w:szCs w:val="24"/>
        </w:rPr>
        <w:t xml:space="preserve"> for examples that can help you understand how these factors impact your minimum reserve.</w:t>
      </w:r>
    </w:p>
    <w:p w14:paraId="55726CD2" w14:textId="77777777" w:rsidR="001133C6" w:rsidRPr="007F692C" w:rsidRDefault="001133C6" w:rsidP="007F692C">
      <w:pPr>
        <w:pStyle w:val="ListParagraph"/>
        <w:numPr>
          <w:ilvl w:val="0"/>
          <w:numId w:val="2"/>
        </w:numPr>
        <w:tabs>
          <w:tab w:val="left" w:pos="720"/>
        </w:tabs>
        <w:spacing w:line="240" w:lineRule="auto"/>
        <w:rPr>
          <w:rFonts w:ascii="Arial" w:hAnsi="Arial" w:cs="Arial"/>
          <w:b/>
          <w:bCs/>
          <w:color w:val="3B4658" w:themeColor="accent4" w:themeShade="80"/>
          <w:sz w:val="24"/>
          <w:szCs w:val="24"/>
        </w:rPr>
      </w:pPr>
      <w:r w:rsidRPr="007F692C">
        <w:rPr>
          <w:rFonts w:ascii="Arial" w:hAnsi="Arial" w:cs="Arial"/>
          <w:b/>
          <w:bCs/>
          <w:color w:val="3B4658" w:themeColor="accent4" w:themeShade="80"/>
          <w:sz w:val="24"/>
          <w:szCs w:val="24"/>
        </w:rPr>
        <w:t xml:space="preserve">Remember, in states with </w:t>
      </w:r>
      <w:r w:rsidR="007F692C">
        <w:rPr>
          <w:rFonts w:ascii="Arial" w:hAnsi="Arial" w:cs="Arial"/>
          <w:b/>
          <w:bCs/>
          <w:color w:val="3B4658" w:themeColor="accent4" w:themeShade="80"/>
          <w:sz w:val="24"/>
          <w:szCs w:val="24"/>
        </w:rPr>
        <w:t>both blind and general agencies</w:t>
      </w:r>
      <w:r w:rsidRPr="007F692C">
        <w:rPr>
          <w:rFonts w:ascii="Arial" w:hAnsi="Arial" w:cs="Arial"/>
          <w:b/>
          <w:bCs/>
          <w:color w:val="3B4658" w:themeColor="accent4" w:themeShade="80"/>
          <w:sz w:val="24"/>
          <w:szCs w:val="24"/>
        </w:rPr>
        <w:t>: the 15% minimum reserve is a state requirement (not per agency).</w:t>
      </w:r>
      <w:r w:rsidRPr="007F692C">
        <w:rPr>
          <w:rFonts w:ascii="Arial" w:hAnsi="Arial" w:cs="Arial"/>
          <w:color w:val="3B4658" w:themeColor="accent4" w:themeShade="80"/>
          <w:sz w:val="24"/>
          <w:szCs w:val="24"/>
        </w:rPr>
        <w:t> </w:t>
      </w:r>
    </w:p>
    <w:p w14:paraId="21C58823" w14:textId="77777777" w:rsidR="0050281B" w:rsidRDefault="001133C6" w:rsidP="0050281B">
      <w:pPr>
        <w:spacing w:after="0"/>
        <w:ind w:left="720"/>
        <w:rPr>
          <w:rFonts w:ascii="Arial" w:hAnsi="Arial" w:cs="Arial"/>
          <w:color w:val="3B4658" w:themeColor="accent4" w:themeShade="80"/>
          <w:sz w:val="24"/>
          <w:szCs w:val="24"/>
        </w:rPr>
      </w:pPr>
      <w:r w:rsidRPr="001133C6">
        <w:rPr>
          <w:rFonts w:ascii="Arial" w:hAnsi="Arial" w:cs="Arial"/>
          <w:color w:val="3B4658" w:themeColor="accent4" w:themeShade="80"/>
          <w:sz w:val="24"/>
          <w:szCs w:val="24"/>
        </w:rPr>
        <w:t>Consider the following to ensure effective and timely communication between two VR agencies in the same state:</w:t>
      </w:r>
    </w:p>
    <w:p w14:paraId="32046402" w14:textId="77777777" w:rsidR="0050281B" w:rsidRPr="0050281B" w:rsidRDefault="0050281B" w:rsidP="0050281B">
      <w:pPr>
        <w:spacing w:after="0"/>
        <w:ind w:left="720"/>
        <w:rPr>
          <w:rFonts w:ascii="Arial" w:hAnsi="Arial" w:cs="Arial"/>
          <w:color w:val="3B4658" w:themeColor="accent4" w:themeShade="80"/>
          <w:sz w:val="4"/>
          <w:szCs w:val="4"/>
        </w:rPr>
      </w:pPr>
    </w:p>
    <w:p w14:paraId="6D7D6A87" w14:textId="77777777" w:rsidR="001133C6" w:rsidRPr="001133C6" w:rsidRDefault="001133C6" w:rsidP="007F692C">
      <w:pPr>
        <w:numPr>
          <w:ilvl w:val="0"/>
          <w:numId w:val="5"/>
        </w:numPr>
        <w:tabs>
          <w:tab w:val="clear" w:pos="1800"/>
          <w:tab w:val="num" w:pos="720"/>
        </w:tabs>
        <w:ind w:left="1440"/>
        <w:rPr>
          <w:rFonts w:ascii="Arial" w:hAnsi="Arial" w:cs="Arial"/>
          <w:color w:val="3B4658" w:themeColor="accent4" w:themeShade="80"/>
          <w:sz w:val="24"/>
          <w:szCs w:val="24"/>
        </w:rPr>
      </w:pPr>
      <w:r w:rsidRPr="001133C6">
        <w:rPr>
          <w:rFonts w:ascii="Arial" w:hAnsi="Arial" w:cs="Arial"/>
          <w:color w:val="3B4658" w:themeColor="accent4" w:themeShade="80"/>
          <w:sz w:val="24"/>
          <w:szCs w:val="24"/>
        </w:rPr>
        <w:t xml:space="preserve">Review the agreement (or develop if you </w:t>
      </w:r>
      <w:proofErr w:type="gramStart"/>
      <w:r w:rsidRPr="001133C6">
        <w:rPr>
          <w:rFonts w:ascii="Arial" w:hAnsi="Arial" w:cs="Arial"/>
          <w:color w:val="3B4658" w:themeColor="accent4" w:themeShade="80"/>
          <w:sz w:val="24"/>
          <w:szCs w:val="24"/>
        </w:rPr>
        <w:t>don’t</w:t>
      </w:r>
      <w:proofErr w:type="gramEnd"/>
      <w:r w:rsidRPr="001133C6">
        <w:rPr>
          <w:rFonts w:ascii="Arial" w:hAnsi="Arial" w:cs="Arial"/>
          <w:color w:val="3B4658" w:themeColor="accent4" w:themeShade="80"/>
          <w:sz w:val="24"/>
          <w:szCs w:val="24"/>
        </w:rPr>
        <w:t xml:space="preserve"> have one) between your two agencies defining how VR services are carried out in the state and ensure it includes how VR will provide pre-employment transition services to all students who need them. </w:t>
      </w:r>
    </w:p>
    <w:p w14:paraId="7F6CBA05" w14:textId="77777777" w:rsidR="001133C6" w:rsidRPr="004A34B0" w:rsidRDefault="001133C6" w:rsidP="009B68DD">
      <w:pPr>
        <w:pStyle w:val="ListParagraph"/>
        <w:numPr>
          <w:ilvl w:val="0"/>
          <w:numId w:val="13"/>
        </w:numPr>
        <w:spacing w:line="240" w:lineRule="auto"/>
        <w:rPr>
          <w:rFonts w:ascii="Arial" w:hAnsi="Arial" w:cs="Arial"/>
          <w:color w:val="2B5258" w:themeColor="accent5" w:themeShade="80"/>
          <w:sz w:val="22"/>
          <w:szCs w:val="22"/>
        </w:rPr>
      </w:pPr>
      <w:r w:rsidRPr="004A34B0">
        <w:rPr>
          <w:rFonts w:ascii="Arial" w:hAnsi="Arial" w:cs="Arial"/>
          <w:i/>
          <w:iCs/>
          <w:color w:val="2B5258" w:themeColor="accent5" w:themeShade="80"/>
          <w:sz w:val="22"/>
          <w:szCs w:val="22"/>
        </w:rPr>
        <w:t xml:space="preserve">See 34 C.F.R. 361.24 (e) that </w:t>
      </w:r>
      <w:r w:rsidR="00D82CDB" w:rsidRPr="004A34B0">
        <w:rPr>
          <w:rFonts w:ascii="Arial" w:hAnsi="Arial" w:cs="Arial"/>
          <w:i/>
          <w:iCs/>
          <w:color w:val="2B5258" w:themeColor="accent5" w:themeShade="80"/>
          <w:sz w:val="22"/>
          <w:szCs w:val="22"/>
        </w:rPr>
        <w:t>describes how States should</w:t>
      </w:r>
      <w:r w:rsidRPr="004A34B0">
        <w:rPr>
          <w:rFonts w:ascii="Arial" w:hAnsi="Arial" w:cs="Arial"/>
          <w:i/>
          <w:iCs/>
          <w:color w:val="2B5258" w:themeColor="accent5" w:themeShade="80"/>
          <w:sz w:val="22"/>
          <w:szCs w:val="22"/>
        </w:rPr>
        <w:t xml:space="preserve"> cooperate and coordinate services with other entities. </w:t>
      </w:r>
    </w:p>
    <w:p w14:paraId="09295120" w14:textId="77777777" w:rsidR="001133C6" w:rsidRPr="001133C6" w:rsidRDefault="001133C6" w:rsidP="001133C6">
      <w:pPr>
        <w:numPr>
          <w:ilvl w:val="0"/>
          <w:numId w:val="6"/>
        </w:numPr>
        <w:tabs>
          <w:tab w:val="num" w:pos="720"/>
        </w:tabs>
        <w:rPr>
          <w:rFonts w:ascii="Arial" w:hAnsi="Arial" w:cs="Arial"/>
          <w:color w:val="3B4658" w:themeColor="accent4" w:themeShade="80"/>
          <w:sz w:val="24"/>
          <w:szCs w:val="24"/>
        </w:rPr>
      </w:pPr>
      <w:r w:rsidRPr="001133C6">
        <w:rPr>
          <w:rFonts w:ascii="Arial" w:hAnsi="Arial" w:cs="Arial"/>
          <w:color w:val="3B4658" w:themeColor="accent4" w:themeShade="80"/>
          <w:sz w:val="24"/>
          <w:szCs w:val="24"/>
        </w:rPr>
        <w:t>Develop a communication plan. The plan could include assigning a staff member from each agency to have regular communication (i.e., monthly) to review each agency's expenditures to date and projections for spending through the end of the Federal fiscal year. </w:t>
      </w:r>
    </w:p>
    <w:p w14:paraId="1119DD1E" w14:textId="77777777" w:rsidR="00D82CDB" w:rsidRPr="004A34B0" w:rsidRDefault="001133C6" w:rsidP="00F54C0B">
      <w:pPr>
        <w:numPr>
          <w:ilvl w:val="2"/>
          <w:numId w:val="7"/>
        </w:numPr>
        <w:tabs>
          <w:tab w:val="clear" w:pos="2880"/>
          <w:tab w:val="left" w:pos="2160"/>
          <w:tab w:val="left" w:pos="2520"/>
          <w:tab w:val="left" w:pos="2970"/>
          <w:tab w:val="left" w:pos="3060"/>
        </w:tabs>
        <w:spacing w:after="0" w:line="240" w:lineRule="auto"/>
        <w:ind w:left="2160"/>
        <w:rPr>
          <w:rFonts w:ascii="Arial" w:hAnsi="Arial" w:cs="Arial"/>
          <w:color w:val="2B5258" w:themeColor="accent5" w:themeShade="80"/>
          <w:sz w:val="24"/>
          <w:szCs w:val="24"/>
        </w:rPr>
      </w:pPr>
      <w:r w:rsidRPr="004A34B0">
        <w:rPr>
          <w:rFonts w:ascii="Arial" w:hAnsi="Arial" w:cs="Arial"/>
          <w:color w:val="2B5258" w:themeColor="accent5" w:themeShade="80"/>
          <w:sz w:val="24"/>
          <w:szCs w:val="24"/>
        </w:rPr>
        <w:t>This type of communication can benefit both</w:t>
      </w:r>
      <w:r w:rsidR="006F0BA3" w:rsidRPr="004A34B0">
        <w:rPr>
          <w:rFonts w:ascii="Arial" w:hAnsi="Arial" w:cs="Arial"/>
          <w:color w:val="2B5258" w:themeColor="accent5" w:themeShade="80"/>
          <w:sz w:val="24"/>
          <w:szCs w:val="24"/>
        </w:rPr>
        <w:t xml:space="preserve"> agencies, as one </w:t>
      </w:r>
      <w:r w:rsidRPr="004A34B0">
        <w:rPr>
          <w:rFonts w:ascii="Arial" w:hAnsi="Arial" w:cs="Arial"/>
          <w:color w:val="2B5258" w:themeColor="accent5" w:themeShade="80"/>
          <w:sz w:val="24"/>
          <w:szCs w:val="24"/>
        </w:rPr>
        <w:t>may be spending over the 15% minimum, which helps the other agency meet this state reservation requirement together. </w:t>
      </w:r>
    </w:p>
    <w:p w14:paraId="28448CFC" w14:textId="77777777" w:rsidR="009B68DD" w:rsidRPr="004A34B0" w:rsidRDefault="009B68DD" w:rsidP="009B68DD">
      <w:pPr>
        <w:tabs>
          <w:tab w:val="left" w:pos="2160"/>
          <w:tab w:val="left" w:pos="2520"/>
          <w:tab w:val="left" w:pos="2970"/>
          <w:tab w:val="left" w:pos="3060"/>
        </w:tabs>
        <w:spacing w:after="0"/>
        <w:ind w:left="1800"/>
        <w:rPr>
          <w:rFonts w:ascii="Arial" w:hAnsi="Arial" w:cs="Arial"/>
          <w:color w:val="2B5258" w:themeColor="accent5" w:themeShade="80"/>
          <w:sz w:val="2"/>
          <w:szCs w:val="2"/>
        </w:rPr>
      </w:pPr>
    </w:p>
    <w:p w14:paraId="68E16527" w14:textId="77777777" w:rsidR="00D82CDB" w:rsidRPr="004A34B0" w:rsidRDefault="001133C6" w:rsidP="00F54C0B">
      <w:pPr>
        <w:numPr>
          <w:ilvl w:val="2"/>
          <w:numId w:val="7"/>
        </w:numPr>
        <w:tabs>
          <w:tab w:val="clear" w:pos="2880"/>
          <w:tab w:val="left" w:pos="2160"/>
          <w:tab w:val="left" w:pos="2520"/>
          <w:tab w:val="left" w:pos="2970"/>
          <w:tab w:val="left" w:pos="3060"/>
        </w:tabs>
        <w:spacing w:after="0" w:line="240" w:lineRule="auto"/>
        <w:ind w:left="2160"/>
        <w:rPr>
          <w:rFonts w:ascii="Arial" w:hAnsi="Arial" w:cs="Arial"/>
          <w:color w:val="2B5258" w:themeColor="accent5" w:themeShade="80"/>
          <w:sz w:val="24"/>
          <w:szCs w:val="24"/>
        </w:rPr>
      </w:pPr>
      <w:r w:rsidRPr="004A34B0">
        <w:rPr>
          <w:rFonts w:ascii="Arial" w:hAnsi="Arial" w:cs="Arial"/>
          <w:color w:val="2B5258" w:themeColor="accent5" w:themeShade="80"/>
          <w:sz w:val="24"/>
          <w:szCs w:val="24"/>
        </w:rPr>
        <w:t>You will also want to discuss what expenditures each agency charges to the reserve to ensure all costs are allowable and allocable toward the 15% minimum reserve.</w:t>
      </w:r>
    </w:p>
    <w:p w14:paraId="29F27F8E" w14:textId="77777777" w:rsidR="0050281B" w:rsidRPr="00F54C0B" w:rsidRDefault="00F54C0B" w:rsidP="00F54C0B">
      <w:pPr>
        <w:tabs>
          <w:tab w:val="left" w:pos="2970"/>
          <w:tab w:val="left" w:pos="3060"/>
        </w:tabs>
        <w:spacing w:after="0"/>
        <w:rPr>
          <w:rFonts w:ascii="Arial" w:hAnsi="Arial" w:cs="Arial"/>
          <w:color w:val="417A84" w:themeColor="accent5" w:themeShade="BF"/>
          <w:sz w:val="16"/>
          <w:szCs w:val="16"/>
          <w:vertAlign w:val="subscript"/>
        </w:rPr>
      </w:pPr>
      <w:r>
        <w:rPr>
          <w:rFonts w:ascii="Arial" w:hAnsi="Arial" w:cs="Arial"/>
          <w:color w:val="417A84" w:themeColor="accent5" w:themeShade="BF"/>
          <w:sz w:val="4"/>
          <w:szCs w:val="4"/>
        </w:rPr>
        <w:tab/>
      </w:r>
    </w:p>
    <w:p w14:paraId="57144420" w14:textId="77777777" w:rsidR="001133C6" w:rsidRPr="006F0BA3" w:rsidRDefault="001133C6" w:rsidP="00D26302">
      <w:pPr>
        <w:pStyle w:val="ListParagraph"/>
        <w:numPr>
          <w:ilvl w:val="0"/>
          <w:numId w:val="2"/>
        </w:numPr>
        <w:spacing w:line="240" w:lineRule="auto"/>
        <w:rPr>
          <w:rFonts w:ascii="Arial" w:hAnsi="Arial" w:cs="Arial"/>
          <w:b/>
          <w:bCs/>
          <w:color w:val="3B4658" w:themeColor="accent4" w:themeShade="80"/>
          <w:sz w:val="24"/>
          <w:szCs w:val="24"/>
        </w:rPr>
      </w:pPr>
      <w:r w:rsidRPr="006F0BA3">
        <w:rPr>
          <w:rFonts w:ascii="Arial" w:hAnsi="Arial" w:cs="Arial"/>
          <w:b/>
          <w:bCs/>
          <w:color w:val="3B4658" w:themeColor="accent4" w:themeShade="80"/>
          <w:sz w:val="24"/>
          <w:szCs w:val="24"/>
        </w:rPr>
        <w:lastRenderedPageBreak/>
        <w:t>Ensure you are assigning all allowable expenditures to meet your minimum 15% reserve requirement, including staff time expenditures. </w:t>
      </w:r>
    </w:p>
    <w:p w14:paraId="3F865BCA" w14:textId="77777777" w:rsidR="001133C6" w:rsidRPr="001133C6" w:rsidRDefault="001133C6" w:rsidP="001133C6">
      <w:pPr>
        <w:numPr>
          <w:ilvl w:val="1"/>
          <w:numId w:val="9"/>
        </w:numPr>
        <w:rPr>
          <w:rFonts w:ascii="Arial" w:hAnsi="Arial" w:cs="Arial"/>
          <w:color w:val="3B4658" w:themeColor="accent4" w:themeShade="80"/>
          <w:sz w:val="24"/>
          <w:szCs w:val="24"/>
        </w:rPr>
      </w:pPr>
      <w:r w:rsidRPr="001133C6">
        <w:rPr>
          <w:rFonts w:ascii="Arial" w:hAnsi="Arial" w:cs="Arial"/>
          <w:color w:val="3B4658" w:themeColor="accent4" w:themeShade="80"/>
          <w:sz w:val="24"/>
          <w:szCs w:val="24"/>
        </w:rPr>
        <w:t xml:space="preserve">Be sure that time is tracked accurately and recorded for providing the required pre-employment transition service, including auxiliary aids and services, additional VR services per the </w:t>
      </w:r>
      <w:hyperlink r:id="rId13" w:history="1">
        <w:r w:rsidRPr="006F0BA3">
          <w:rPr>
            <w:rStyle w:val="Hyperlink"/>
            <w:rFonts w:ascii="Arial" w:hAnsi="Arial" w:cs="Arial"/>
            <w:color w:val="002060"/>
            <w:sz w:val="24"/>
            <w:szCs w:val="24"/>
          </w:rPr>
          <w:t>NOI</w:t>
        </w:r>
      </w:hyperlink>
      <w:r w:rsidRPr="006F0BA3">
        <w:rPr>
          <w:rFonts w:ascii="Arial" w:hAnsi="Arial" w:cs="Arial"/>
          <w:color w:val="002060"/>
          <w:sz w:val="24"/>
          <w:szCs w:val="24"/>
        </w:rPr>
        <w:t xml:space="preserve"> </w:t>
      </w:r>
      <w:r w:rsidRPr="001133C6">
        <w:rPr>
          <w:rFonts w:ascii="Arial" w:hAnsi="Arial" w:cs="Arial"/>
          <w:color w:val="3B4658" w:themeColor="accent4" w:themeShade="80"/>
          <w:sz w:val="24"/>
          <w:szCs w:val="24"/>
        </w:rPr>
        <w:t>(when applicable), and coordination activities. </w:t>
      </w:r>
    </w:p>
    <w:p w14:paraId="53AD78EB" w14:textId="77777777" w:rsidR="001133C6" w:rsidRPr="001133C6" w:rsidRDefault="001133C6" w:rsidP="00F54C0B">
      <w:pPr>
        <w:numPr>
          <w:ilvl w:val="2"/>
          <w:numId w:val="15"/>
        </w:numPr>
        <w:spacing w:line="240" w:lineRule="auto"/>
        <w:rPr>
          <w:rFonts w:ascii="Arial" w:hAnsi="Arial" w:cs="Arial"/>
          <w:color w:val="3B4658" w:themeColor="accent4" w:themeShade="80"/>
          <w:sz w:val="24"/>
          <w:szCs w:val="24"/>
        </w:rPr>
      </w:pPr>
      <w:r w:rsidRPr="0090586D">
        <w:rPr>
          <w:rFonts w:ascii="Arial" w:hAnsi="Arial" w:cs="Arial"/>
          <w:color w:val="2B5258" w:themeColor="accent5" w:themeShade="80"/>
          <w:sz w:val="24"/>
          <w:szCs w:val="24"/>
        </w:rPr>
        <w:t>Review Q</w:t>
      </w:r>
      <w:r w:rsidR="006F0BA3" w:rsidRPr="0090586D">
        <w:rPr>
          <w:rFonts w:ascii="Arial" w:hAnsi="Arial" w:cs="Arial"/>
          <w:color w:val="2B5258" w:themeColor="accent5" w:themeShade="80"/>
          <w:sz w:val="24"/>
          <w:szCs w:val="24"/>
        </w:rPr>
        <w:t xml:space="preserve"> </w:t>
      </w:r>
      <w:r w:rsidRPr="0090586D">
        <w:rPr>
          <w:rFonts w:ascii="Arial" w:hAnsi="Arial" w:cs="Arial"/>
          <w:color w:val="2B5258" w:themeColor="accent5" w:themeShade="80"/>
          <w:sz w:val="24"/>
          <w:szCs w:val="24"/>
        </w:rPr>
        <w:t xml:space="preserve">#6 in the </w:t>
      </w:r>
      <w:hyperlink r:id="rId14" w:history="1">
        <w:r w:rsidRPr="006F0BA3">
          <w:rPr>
            <w:rStyle w:val="Hyperlink"/>
            <w:rFonts w:ascii="Arial" w:hAnsi="Arial" w:cs="Arial"/>
            <w:color w:val="002060"/>
            <w:sz w:val="24"/>
            <w:szCs w:val="24"/>
          </w:rPr>
          <w:t>RSA Pre-Employment Transition Services FAQs</w:t>
        </w:r>
      </w:hyperlink>
      <w:r w:rsidRPr="001133C6">
        <w:rPr>
          <w:rFonts w:ascii="Arial" w:hAnsi="Arial" w:cs="Arial"/>
          <w:color w:val="3B4658" w:themeColor="accent4" w:themeShade="80"/>
          <w:sz w:val="24"/>
          <w:szCs w:val="24"/>
        </w:rPr>
        <w:t xml:space="preserve"> </w:t>
      </w:r>
      <w:r w:rsidRPr="0090586D">
        <w:rPr>
          <w:rFonts w:ascii="Arial" w:hAnsi="Arial" w:cs="Arial"/>
          <w:color w:val="2B5258" w:themeColor="accent5" w:themeShade="80"/>
          <w:sz w:val="24"/>
          <w:szCs w:val="24"/>
        </w:rPr>
        <w:t>to ensure you count direct service costs versus administrative costs when tracking time to the reserve.</w:t>
      </w:r>
    </w:p>
    <w:p w14:paraId="4104A936" w14:textId="77777777" w:rsidR="001133C6" w:rsidRPr="001133C6" w:rsidRDefault="001133C6" w:rsidP="00F54C0B">
      <w:pPr>
        <w:numPr>
          <w:ilvl w:val="2"/>
          <w:numId w:val="15"/>
        </w:numPr>
        <w:spacing w:line="240" w:lineRule="auto"/>
        <w:rPr>
          <w:rFonts w:ascii="Arial" w:hAnsi="Arial" w:cs="Arial"/>
          <w:color w:val="3B4658" w:themeColor="accent4" w:themeShade="80"/>
          <w:sz w:val="24"/>
          <w:szCs w:val="24"/>
        </w:rPr>
      </w:pPr>
      <w:r w:rsidRPr="0090586D">
        <w:rPr>
          <w:rFonts w:ascii="Arial" w:hAnsi="Arial" w:cs="Arial"/>
          <w:color w:val="2B5258" w:themeColor="accent5" w:themeShade="80"/>
          <w:sz w:val="24"/>
          <w:szCs w:val="24"/>
        </w:rPr>
        <w:t xml:space="preserve">Reference the </w:t>
      </w:r>
      <w:r w:rsidRPr="006F0BA3">
        <w:rPr>
          <w:rFonts w:ascii="Arial" w:hAnsi="Arial" w:cs="Arial"/>
          <w:color w:val="002060"/>
          <w:sz w:val="24"/>
          <w:szCs w:val="24"/>
          <w:u w:val="single"/>
        </w:rPr>
        <w:t xml:space="preserve">Pre-Employment Transition Services Time Allocation Guide </w:t>
      </w:r>
      <w:r w:rsidRPr="0090586D">
        <w:rPr>
          <w:rFonts w:ascii="Arial" w:hAnsi="Arial" w:cs="Arial"/>
          <w:color w:val="2B5258" w:themeColor="accent5" w:themeShade="80"/>
          <w:sz w:val="24"/>
          <w:szCs w:val="24"/>
        </w:rPr>
        <w:t>for examples to help track staff time correctly.</w:t>
      </w:r>
    </w:p>
    <w:p w14:paraId="6ADC4E49" w14:textId="77777777" w:rsidR="001133C6" w:rsidRDefault="001133C6" w:rsidP="006F0BA3">
      <w:pPr>
        <w:pStyle w:val="ListParagraph"/>
        <w:numPr>
          <w:ilvl w:val="0"/>
          <w:numId w:val="14"/>
        </w:numPr>
        <w:rPr>
          <w:rFonts w:ascii="Arial" w:hAnsi="Arial" w:cs="Arial"/>
          <w:color w:val="3B4658" w:themeColor="accent4" w:themeShade="80"/>
          <w:sz w:val="24"/>
          <w:szCs w:val="24"/>
        </w:rPr>
      </w:pPr>
      <w:r w:rsidRPr="006F0BA3">
        <w:rPr>
          <w:rFonts w:ascii="Arial" w:hAnsi="Arial" w:cs="Arial"/>
          <w:color w:val="3B4658" w:themeColor="accent4" w:themeShade="80"/>
          <w:sz w:val="24"/>
          <w:szCs w:val="24"/>
        </w:rPr>
        <w:t>Review your agency’s staffing configuration and dedicate staff to provide pre-employment transition services directly. Some ideas include:</w:t>
      </w:r>
    </w:p>
    <w:p w14:paraId="20B44646" w14:textId="77777777" w:rsidR="007B7982" w:rsidRPr="007B7982" w:rsidRDefault="007B7982" w:rsidP="007B7982">
      <w:pPr>
        <w:pStyle w:val="ListParagraph"/>
        <w:ind w:left="1440"/>
        <w:rPr>
          <w:rFonts w:ascii="Arial" w:hAnsi="Arial" w:cs="Arial"/>
          <w:color w:val="3B4658" w:themeColor="accent4" w:themeShade="80"/>
          <w:sz w:val="8"/>
          <w:szCs w:val="8"/>
        </w:rPr>
      </w:pPr>
    </w:p>
    <w:p w14:paraId="3EF8B9BB" w14:textId="77777777" w:rsidR="001133C6" w:rsidRPr="0090586D" w:rsidRDefault="001133C6" w:rsidP="006F0BA3">
      <w:pPr>
        <w:pStyle w:val="ListParagraph"/>
        <w:numPr>
          <w:ilvl w:val="0"/>
          <w:numId w:val="16"/>
        </w:numPr>
        <w:rPr>
          <w:rFonts w:ascii="Arial" w:hAnsi="Arial" w:cs="Arial"/>
          <w:color w:val="2B5258" w:themeColor="accent5" w:themeShade="80"/>
          <w:sz w:val="24"/>
          <w:szCs w:val="24"/>
        </w:rPr>
      </w:pPr>
      <w:r w:rsidRPr="0090586D">
        <w:rPr>
          <w:rFonts w:ascii="Arial" w:hAnsi="Arial" w:cs="Arial"/>
          <w:color w:val="2B5258" w:themeColor="accent5" w:themeShade="80"/>
          <w:sz w:val="24"/>
          <w:szCs w:val="24"/>
        </w:rPr>
        <w:t>Having dedicated pre-employment transition service counselors</w:t>
      </w:r>
      <w:r w:rsidR="00F54C0B" w:rsidRPr="0090586D">
        <w:rPr>
          <w:rFonts w:ascii="Arial" w:hAnsi="Arial" w:cs="Arial"/>
          <w:color w:val="2B5258" w:themeColor="accent5" w:themeShade="80"/>
          <w:sz w:val="24"/>
          <w:szCs w:val="24"/>
        </w:rPr>
        <w:t>.</w:t>
      </w:r>
    </w:p>
    <w:p w14:paraId="66FA0DA7" w14:textId="77777777" w:rsidR="007B7982" w:rsidRPr="0090586D" w:rsidRDefault="007B7982" w:rsidP="007B7982">
      <w:pPr>
        <w:pStyle w:val="ListParagraph"/>
        <w:ind w:left="2160"/>
        <w:rPr>
          <w:rFonts w:ascii="Arial" w:hAnsi="Arial" w:cs="Arial"/>
          <w:color w:val="2B5258" w:themeColor="accent5" w:themeShade="80"/>
          <w:sz w:val="8"/>
          <w:szCs w:val="8"/>
        </w:rPr>
      </w:pPr>
    </w:p>
    <w:p w14:paraId="21EAADE4" w14:textId="77777777" w:rsidR="007B7982" w:rsidRPr="0090586D" w:rsidRDefault="006F0BA3" w:rsidP="00F54C0B">
      <w:pPr>
        <w:pStyle w:val="ListParagraph"/>
        <w:numPr>
          <w:ilvl w:val="0"/>
          <w:numId w:val="16"/>
        </w:numPr>
        <w:spacing w:line="240" w:lineRule="auto"/>
        <w:rPr>
          <w:rFonts w:ascii="Arial" w:hAnsi="Arial" w:cs="Arial"/>
          <w:color w:val="2B5258" w:themeColor="accent5" w:themeShade="80"/>
          <w:sz w:val="24"/>
          <w:szCs w:val="24"/>
        </w:rPr>
      </w:pPr>
      <w:r w:rsidRPr="0090586D">
        <w:rPr>
          <w:rFonts w:ascii="Arial" w:hAnsi="Arial" w:cs="Arial"/>
          <w:color w:val="2B5258" w:themeColor="accent5" w:themeShade="80"/>
          <w:sz w:val="24"/>
          <w:szCs w:val="24"/>
        </w:rPr>
        <w:t>Having every counselor with a portion of their caseload dedicated to pre-employment transition services</w:t>
      </w:r>
      <w:r w:rsidR="00F54C0B" w:rsidRPr="0090586D">
        <w:rPr>
          <w:rFonts w:ascii="Arial" w:hAnsi="Arial" w:cs="Arial"/>
          <w:color w:val="2B5258" w:themeColor="accent5" w:themeShade="80"/>
          <w:sz w:val="24"/>
          <w:szCs w:val="24"/>
        </w:rPr>
        <w:t>.</w:t>
      </w:r>
    </w:p>
    <w:p w14:paraId="431DBEB9" w14:textId="77777777" w:rsidR="007B7982" w:rsidRPr="0090586D" w:rsidRDefault="007B7982" w:rsidP="007B7982">
      <w:pPr>
        <w:pStyle w:val="ListParagraph"/>
        <w:ind w:left="2160"/>
        <w:rPr>
          <w:rFonts w:ascii="Arial" w:hAnsi="Arial" w:cs="Arial"/>
          <w:color w:val="2B5258" w:themeColor="accent5" w:themeShade="80"/>
          <w:sz w:val="8"/>
          <w:szCs w:val="8"/>
        </w:rPr>
      </w:pPr>
    </w:p>
    <w:p w14:paraId="672A9034" w14:textId="77777777" w:rsidR="006F0BA3" w:rsidRPr="0090586D" w:rsidRDefault="006F0BA3" w:rsidP="00F54C0B">
      <w:pPr>
        <w:pStyle w:val="ListParagraph"/>
        <w:numPr>
          <w:ilvl w:val="0"/>
          <w:numId w:val="16"/>
        </w:numPr>
        <w:spacing w:line="240" w:lineRule="auto"/>
        <w:rPr>
          <w:rFonts w:ascii="Arial" w:hAnsi="Arial" w:cs="Arial"/>
          <w:color w:val="2B5258" w:themeColor="accent5" w:themeShade="80"/>
          <w:sz w:val="24"/>
          <w:szCs w:val="24"/>
        </w:rPr>
      </w:pPr>
      <w:r w:rsidRPr="0090586D">
        <w:rPr>
          <w:rFonts w:ascii="Arial" w:hAnsi="Arial" w:cs="Arial"/>
          <w:color w:val="2B5258" w:themeColor="accent5" w:themeShade="80"/>
          <w:sz w:val="24"/>
          <w:szCs w:val="24"/>
        </w:rPr>
        <w:t>Using business specialists to organize and coordinate work-based learning experiences</w:t>
      </w:r>
      <w:r w:rsidR="00F54C0B" w:rsidRPr="0090586D">
        <w:rPr>
          <w:rFonts w:ascii="Arial" w:hAnsi="Arial" w:cs="Arial"/>
          <w:color w:val="2B5258" w:themeColor="accent5" w:themeShade="80"/>
          <w:sz w:val="24"/>
          <w:szCs w:val="24"/>
        </w:rPr>
        <w:t>.</w:t>
      </w:r>
    </w:p>
    <w:p w14:paraId="66EB024A" w14:textId="77777777" w:rsidR="007B7982" w:rsidRPr="0090586D" w:rsidRDefault="007B7982" w:rsidP="007B7982">
      <w:pPr>
        <w:pStyle w:val="ListParagraph"/>
        <w:ind w:left="2160"/>
        <w:rPr>
          <w:rFonts w:ascii="Arial" w:hAnsi="Arial" w:cs="Arial"/>
          <w:color w:val="2B5258" w:themeColor="accent5" w:themeShade="80"/>
          <w:sz w:val="8"/>
          <w:szCs w:val="8"/>
        </w:rPr>
      </w:pPr>
    </w:p>
    <w:p w14:paraId="60C3C432" w14:textId="77777777" w:rsidR="007B7982" w:rsidRPr="0090586D" w:rsidRDefault="006F0BA3" w:rsidP="00F54C0B">
      <w:pPr>
        <w:pStyle w:val="ListParagraph"/>
        <w:numPr>
          <w:ilvl w:val="0"/>
          <w:numId w:val="16"/>
        </w:numPr>
        <w:spacing w:line="240" w:lineRule="auto"/>
        <w:rPr>
          <w:rFonts w:ascii="Arial" w:hAnsi="Arial" w:cs="Arial"/>
          <w:color w:val="2B5258" w:themeColor="accent5" w:themeShade="80"/>
          <w:sz w:val="24"/>
          <w:szCs w:val="24"/>
        </w:rPr>
      </w:pPr>
      <w:r w:rsidRPr="0090586D">
        <w:rPr>
          <w:rFonts w:ascii="Arial" w:hAnsi="Arial" w:cs="Arial"/>
          <w:color w:val="2B5258" w:themeColor="accent5" w:themeShade="80"/>
          <w:sz w:val="24"/>
          <w:szCs w:val="24"/>
        </w:rPr>
        <w:t>Leveraging BEP sta</w:t>
      </w:r>
      <w:r w:rsidR="00F54C0B" w:rsidRPr="0090586D">
        <w:rPr>
          <w:rFonts w:ascii="Arial" w:hAnsi="Arial" w:cs="Arial"/>
          <w:color w:val="2B5258" w:themeColor="accent5" w:themeShade="80"/>
          <w:sz w:val="24"/>
          <w:szCs w:val="24"/>
        </w:rPr>
        <w:t xml:space="preserve">ff to develop information about </w:t>
      </w:r>
      <w:r w:rsidRPr="0090586D">
        <w:rPr>
          <w:rFonts w:ascii="Arial" w:hAnsi="Arial" w:cs="Arial"/>
          <w:color w:val="2B5258" w:themeColor="accent5" w:themeShade="80"/>
          <w:sz w:val="24"/>
          <w:szCs w:val="24"/>
        </w:rPr>
        <w:t>entrepreneurship and work experiences in the BEP. </w:t>
      </w:r>
    </w:p>
    <w:p w14:paraId="514AA0E8" w14:textId="77777777" w:rsidR="007B7982" w:rsidRPr="00F54C0B" w:rsidRDefault="007B7982" w:rsidP="007B7982">
      <w:pPr>
        <w:pStyle w:val="ListParagraph"/>
        <w:ind w:left="2160"/>
        <w:rPr>
          <w:rFonts w:ascii="Arial" w:hAnsi="Arial" w:cs="Arial"/>
          <w:color w:val="3B4658" w:themeColor="accent4" w:themeShade="80"/>
          <w:sz w:val="16"/>
          <w:szCs w:val="16"/>
        </w:rPr>
      </w:pPr>
    </w:p>
    <w:p w14:paraId="370BCFF4" w14:textId="1FDDAEB6" w:rsidR="006F0BA3" w:rsidRDefault="006F0BA3" w:rsidP="007B7982">
      <w:pPr>
        <w:pStyle w:val="ListParagraph"/>
        <w:numPr>
          <w:ilvl w:val="0"/>
          <w:numId w:val="14"/>
        </w:numPr>
        <w:rPr>
          <w:rFonts w:ascii="Arial" w:hAnsi="Arial" w:cs="Arial"/>
          <w:color w:val="3B4658" w:themeColor="accent4" w:themeShade="80"/>
          <w:sz w:val="24"/>
          <w:szCs w:val="24"/>
        </w:rPr>
      </w:pPr>
      <w:r w:rsidRPr="007B7982">
        <w:rPr>
          <w:rFonts w:ascii="Arial" w:hAnsi="Arial" w:cs="Arial"/>
          <w:color w:val="3B4658" w:themeColor="accent4" w:themeShade="80"/>
          <w:sz w:val="24"/>
          <w:szCs w:val="24"/>
        </w:rPr>
        <w:t xml:space="preserve">Agencies may charge the staff time spent carrying out one or more of the nine authorized activities to the reserve once they have </w:t>
      </w:r>
      <w:hyperlink r:id="rId15" w:history="1">
        <w:r w:rsidR="003B163B" w:rsidRPr="009D12DE">
          <w:rPr>
            <w:rStyle w:val="Hyperlink"/>
            <w:rFonts w:ascii="Arial" w:hAnsi="Arial" w:cs="Arial"/>
            <w:color w:val="002060"/>
            <w:sz w:val="24"/>
            <w:szCs w:val="24"/>
          </w:rPr>
          <w:t>determined sufficient funds</w:t>
        </w:r>
      </w:hyperlink>
      <w:r w:rsidR="003B163B" w:rsidRPr="003B163B">
        <w:rPr>
          <w:rFonts w:ascii="Arial" w:hAnsi="Arial" w:cs="Arial"/>
          <w:color w:val="3B4658" w:themeColor="accent4" w:themeShade="80"/>
          <w:sz w:val="24"/>
          <w:szCs w:val="24"/>
        </w:rPr>
        <w:t xml:space="preserve"> </w:t>
      </w:r>
      <w:r w:rsidRPr="007B7982">
        <w:rPr>
          <w:rFonts w:ascii="Arial" w:hAnsi="Arial" w:cs="Arial"/>
          <w:color w:val="3B4658" w:themeColor="accent4" w:themeShade="80"/>
          <w:sz w:val="24"/>
          <w:szCs w:val="24"/>
        </w:rPr>
        <w:t>are available to provide the required pre-employment transition services and pre-employment transition coordination activities. </w:t>
      </w:r>
    </w:p>
    <w:p w14:paraId="5B359E27" w14:textId="77777777" w:rsidR="007B7982" w:rsidRPr="00F54C0B" w:rsidRDefault="007B7982" w:rsidP="007B7982">
      <w:pPr>
        <w:pStyle w:val="ListParagraph"/>
        <w:ind w:left="1440"/>
        <w:rPr>
          <w:rFonts w:ascii="Arial" w:hAnsi="Arial" w:cs="Arial"/>
          <w:color w:val="3B4658" w:themeColor="accent4" w:themeShade="80"/>
          <w:sz w:val="16"/>
          <w:szCs w:val="16"/>
        </w:rPr>
      </w:pPr>
    </w:p>
    <w:p w14:paraId="33012831" w14:textId="77777777" w:rsidR="006F0BA3" w:rsidRPr="007B7982" w:rsidRDefault="006F0BA3" w:rsidP="007B7982">
      <w:pPr>
        <w:pStyle w:val="ListParagraph"/>
        <w:numPr>
          <w:ilvl w:val="0"/>
          <w:numId w:val="2"/>
        </w:numPr>
        <w:rPr>
          <w:rFonts w:ascii="Arial" w:hAnsi="Arial" w:cs="Arial"/>
          <w:b/>
          <w:color w:val="3B4658" w:themeColor="accent4" w:themeShade="80"/>
          <w:sz w:val="24"/>
          <w:szCs w:val="24"/>
        </w:rPr>
      </w:pPr>
      <w:r w:rsidRPr="007B7982">
        <w:rPr>
          <w:rFonts w:ascii="Arial" w:hAnsi="Arial" w:cs="Arial"/>
          <w:b/>
          <w:bCs/>
          <w:color w:val="3B4658" w:themeColor="accent4" w:themeShade="80"/>
          <w:sz w:val="24"/>
          <w:szCs w:val="24"/>
        </w:rPr>
        <w:t>Ensure you have a process to establish reasonable and allowable rates for services, including pre-employment transition services, and deliver quality services.</w:t>
      </w:r>
      <w:r w:rsidRPr="007B7982">
        <w:rPr>
          <w:rFonts w:ascii="Arial" w:hAnsi="Arial" w:cs="Arial"/>
          <w:b/>
          <w:color w:val="3B4658" w:themeColor="accent4" w:themeShade="80"/>
          <w:sz w:val="24"/>
          <w:szCs w:val="24"/>
        </w:rPr>
        <w:t> </w:t>
      </w:r>
    </w:p>
    <w:p w14:paraId="4E6FBA77" w14:textId="77777777" w:rsidR="006F0BA3" w:rsidRPr="007B7982" w:rsidRDefault="006F0BA3" w:rsidP="007B7982">
      <w:pPr>
        <w:spacing w:after="0"/>
        <w:ind w:firstLine="720"/>
        <w:rPr>
          <w:rFonts w:ascii="Arial" w:hAnsi="Arial" w:cs="Arial"/>
          <w:color w:val="3B4658" w:themeColor="accent4" w:themeShade="80"/>
          <w:sz w:val="24"/>
          <w:szCs w:val="24"/>
        </w:rPr>
      </w:pPr>
      <w:r w:rsidRPr="007B7982">
        <w:rPr>
          <w:rFonts w:ascii="Arial" w:hAnsi="Arial" w:cs="Arial"/>
          <w:color w:val="3B4658" w:themeColor="accent4" w:themeShade="80"/>
          <w:sz w:val="24"/>
          <w:szCs w:val="24"/>
        </w:rPr>
        <w:t>Questions to consider: </w:t>
      </w:r>
    </w:p>
    <w:p w14:paraId="2F5138D4" w14:textId="77777777" w:rsidR="0050281B" w:rsidRDefault="006F0BA3" w:rsidP="0050281B">
      <w:pPr>
        <w:pStyle w:val="ListParagraph"/>
        <w:numPr>
          <w:ilvl w:val="0"/>
          <w:numId w:val="14"/>
        </w:numPr>
        <w:rPr>
          <w:rFonts w:ascii="Arial" w:hAnsi="Arial" w:cs="Arial"/>
          <w:color w:val="3B4658" w:themeColor="accent4" w:themeShade="80"/>
          <w:sz w:val="24"/>
          <w:szCs w:val="24"/>
        </w:rPr>
      </w:pPr>
      <w:r w:rsidRPr="0050281B">
        <w:rPr>
          <w:rFonts w:ascii="Arial" w:hAnsi="Arial" w:cs="Arial"/>
          <w:color w:val="3B4658" w:themeColor="accent4" w:themeShade="80"/>
          <w:sz w:val="24"/>
          <w:szCs w:val="24"/>
        </w:rPr>
        <w:t>Have you established minimum standards or qualifications for vendors of pre-employment transition services?</w:t>
      </w:r>
    </w:p>
    <w:p w14:paraId="59FDEF6F" w14:textId="77777777" w:rsidR="0050281B" w:rsidRPr="0050281B" w:rsidRDefault="0050281B" w:rsidP="0050281B">
      <w:pPr>
        <w:pStyle w:val="ListParagraph"/>
        <w:ind w:left="1440"/>
        <w:rPr>
          <w:rFonts w:ascii="Arial" w:hAnsi="Arial" w:cs="Arial"/>
          <w:color w:val="3B4658" w:themeColor="accent4" w:themeShade="80"/>
          <w:sz w:val="8"/>
          <w:szCs w:val="8"/>
        </w:rPr>
      </w:pPr>
    </w:p>
    <w:p w14:paraId="7DD76E08" w14:textId="77777777" w:rsidR="0050281B" w:rsidRPr="0050281B" w:rsidRDefault="006F0BA3" w:rsidP="0050281B">
      <w:pPr>
        <w:pStyle w:val="ListParagraph"/>
        <w:numPr>
          <w:ilvl w:val="0"/>
          <w:numId w:val="14"/>
        </w:numPr>
        <w:rPr>
          <w:rFonts w:ascii="Arial" w:hAnsi="Arial" w:cs="Arial"/>
          <w:color w:val="3B4658" w:themeColor="accent4" w:themeShade="80"/>
          <w:sz w:val="24"/>
          <w:szCs w:val="24"/>
        </w:rPr>
      </w:pPr>
      <w:r w:rsidRPr="0050281B">
        <w:rPr>
          <w:rFonts w:ascii="Arial" w:hAnsi="Arial" w:cs="Arial"/>
          <w:color w:val="3B4658" w:themeColor="accent4" w:themeShade="80"/>
          <w:sz w:val="24"/>
          <w:szCs w:val="24"/>
        </w:rPr>
        <w:lastRenderedPageBreak/>
        <w:t>Are vendors operating under a contract or agreement that identifies service expectations, deliverables, and payment rates?</w:t>
      </w:r>
    </w:p>
    <w:p w14:paraId="4CA51AA6" w14:textId="77777777" w:rsidR="0050281B" w:rsidRPr="0050281B" w:rsidRDefault="0050281B" w:rsidP="0050281B">
      <w:pPr>
        <w:pStyle w:val="ListParagraph"/>
        <w:ind w:left="1440"/>
        <w:rPr>
          <w:rFonts w:ascii="Arial" w:hAnsi="Arial" w:cs="Arial"/>
          <w:color w:val="3B4658" w:themeColor="accent4" w:themeShade="80"/>
          <w:sz w:val="8"/>
          <w:szCs w:val="8"/>
        </w:rPr>
      </w:pPr>
    </w:p>
    <w:p w14:paraId="74FC21F3" w14:textId="77777777" w:rsidR="006F0BA3" w:rsidRPr="0090586D" w:rsidRDefault="006F0BA3" w:rsidP="00F54C0B">
      <w:pPr>
        <w:pStyle w:val="ListParagraph"/>
        <w:numPr>
          <w:ilvl w:val="1"/>
          <w:numId w:val="14"/>
        </w:numPr>
        <w:spacing w:line="240" w:lineRule="auto"/>
        <w:rPr>
          <w:rFonts w:ascii="Arial" w:hAnsi="Arial" w:cs="Arial"/>
          <w:color w:val="2B5258" w:themeColor="accent5" w:themeShade="80"/>
          <w:sz w:val="24"/>
          <w:szCs w:val="24"/>
        </w:rPr>
      </w:pPr>
      <w:r w:rsidRPr="0090586D">
        <w:rPr>
          <w:rFonts w:ascii="Arial" w:hAnsi="Arial" w:cs="Arial"/>
          <w:color w:val="2B5258" w:themeColor="accent5" w:themeShade="80"/>
          <w:sz w:val="24"/>
          <w:szCs w:val="24"/>
        </w:rPr>
        <w:t>Is VR identifying services needed and authorizing those services? Are vendors delivering what was agreed to and ex</w:t>
      </w:r>
      <w:r w:rsidR="0050281B" w:rsidRPr="0090586D">
        <w:rPr>
          <w:rFonts w:ascii="Arial" w:hAnsi="Arial" w:cs="Arial"/>
          <w:color w:val="2B5258" w:themeColor="accent5" w:themeShade="80"/>
          <w:sz w:val="24"/>
          <w:szCs w:val="24"/>
        </w:rPr>
        <w:t>pected by the VR agency</w:t>
      </w:r>
      <w:r w:rsidRPr="0090586D">
        <w:rPr>
          <w:rFonts w:ascii="Arial" w:hAnsi="Arial" w:cs="Arial"/>
          <w:color w:val="2B5258" w:themeColor="accent5" w:themeShade="80"/>
          <w:sz w:val="24"/>
          <w:szCs w:val="24"/>
        </w:rPr>
        <w:t>? Are you evaluating services provided, and are they making a difference for students with disabilities?</w:t>
      </w:r>
    </w:p>
    <w:p w14:paraId="07AF6AB5" w14:textId="77777777" w:rsidR="0050281B" w:rsidRPr="0050281B" w:rsidRDefault="0050281B" w:rsidP="0050281B">
      <w:pPr>
        <w:pStyle w:val="ListParagraph"/>
        <w:ind w:left="1440"/>
        <w:rPr>
          <w:rFonts w:ascii="Arial" w:hAnsi="Arial" w:cs="Arial"/>
          <w:color w:val="3B4658" w:themeColor="accent4" w:themeShade="80"/>
          <w:sz w:val="8"/>
          <w:szCs w:val="8"/>
        </w:rPr>
      </w:pPr>
    </w:p>
    <w:p w14:paraId="6F9D45F1" w14:textId="77777777" w:rsidR="006F0BA3" w:rsidRPr="0050281B" w:rsidRDefault="006F0BA3" w:rsidP="0050281B">
      <w:pPr>
        <w:pStyle w:val="ListParagraph"/>
        <w:numPr>
          <w:ilvl w:val="0"/>
          <w:numId w:val="22"/>
        </w:numPr>
        <w:rPr>
          <w:rFonts w:ascii="Arial" w:hAnsi="Arial" w:cs="Arial"/>
          <w:color w:val="3B4658" w:themeColor="accent4" w:themeShade="80"/>
          <w:sz w:val="24"/>
          <w:szCs w:val="24"/>
        </w:rPr>
      </w:pPr>
      <w:r w:rsidRPr="0050281B">
        <w:rPr>
          <w:rFonts w:ascii="Arial" w:hAnsi="Arial" w:cs="Arial"/>
          <w:color w:val="3B4658" w:themeColor="accent4" w:themeShade="80"/>
          <w:sz w:val="24"/>
          <w:szCs w:val="24"/>
        </w:rPr>
        <w:t>Are your payment rates based on the rate methodology you have developed in policy and subject to review? </w:t>
      </w:r>
    </w:p>
    <w:p w14:paraId="1DC77827" w14:textId="77777777" w:rsidR="00AB4F8E" w:rsidRDefault="00AB4F8E" w:rsidP="00AB4F8E">
      <w:pPr>
        <w:pStyle w:val="ListParagraph"/>
        <w:spacing w:line="240" w:lineRule="auto"/>
        <w:ind w:left="2160"/>
        <w:rPr>
          <w:rFonts w:ascii="Arial" w:hAnsi="Arial" w:cs="Arial"/>
          <w:color w:val="2B5258" w:themeColor="accent5" w:themeShade="80"/>
          <w:sz w:val="24"/>
          <w:szCs w:val="24"/>
        </w:rPr>
      </w:pPr>
    </w:p>
    <w:p w14:paraId="7F91247C" w14:textId="33B765C1" w:rsidR="006F0BA3" w:rsidRPr="0090586D" w:rsidRDefault="006F0BA3" w:rsidP="00F54C0B">
      <w:pPr>
        <w:pStyle w:val="ListParagraph"/>
        <w:numPr>
          <w:ilvl w:val="0"/>
          <w:numId w:val="23"/>
        </w:numPr>
        <w:spacing w:line="240" w:lineRule="auto"/>
        <w:rPr>
          <w:rFonts w:ascii="Arial" w:hAnsi="Arial" w:cs="Arial"/>
          <w:color w:val="2B5258" w:themeColor="accent5" w:themeShade="80"/>
          <w:sz w:val="24"/>
          <w:szCs w:val="24"/>
        </w:rPr>
      </w:pPr>
      <w:r w:rsidRPr="0090586D">
        <w:rPr>
          <w:rFonts w:ascii="Arial" w:hAnsi="Arial" w:cs="Arial"/>
          <w:color w:val="2B5258" w:themeColor="accent5" w:themeShade="80"/>
          <w:sz w:val="24"/>
          <w:szCs w:val="24"/>
        </w:rPr>
        <w:t>Justify the establishment of payment rates, consistency across vendors, and reasonableness.</w:t>
      </w:r>
    </w:p>
    <w:p w14:paraId="7E31A5A6" w14:textId="77777777" w:rsidR="00F54C0B" w:rsidRDefault="00F54C0B" w:rsidP="00F54C0B">
      <w:pPr>
        <w:pStyle w:val="ListParagraph"/>
        <w:spacing w:line="240" w:lineRule="auto"/>
        <w:ind w:left="2160"/>
        <w:rPr>
          <w:rFonts w:ascii="Arial" w:hAnsi="Arial" w:cs="Arial"/>
          <w:color w:val="417A84" w:themeColor="accent5" w:themeShade="BF"/>
          <w:sz w:val="24"/>
          <w:szCs w:val="24"/>
        </w:rPr>
      </w:pPr>
    </w:p>
    <w:p w14:paraId="1D62947B" w14:textId="77777777" w:rsidR="006F0BA3" w:rsidRPr="00F54C0B" w:rsidRDefault="006F0BA3" w:rsidP="00F54C0B">
      <w:pPr>
        <w:pStyle w:val="ListParagraph"/>
        <w:numPr>
          <w:ilvl w:val="0"/>
          <w:numId w:val="22"/>
        </w:numPr>
        <w:rPr>
          <w:rFonts w:ascii="Arial" w:hAnsi="Arial" w:cs="Arial"/>
          <w:color w:val="3B4658" w:themeColor="accent4" w:themeShade="80"/>
          <w:sz w:val="24"/>
          <w:szCs w:val="24"/>
        </w:rPr>
      </w:pPr>
      <w:r w:rsidRPr="00F54C0B">
        <w:rPr>
          <w:rFonts w:ascii="Arial" w:hAnsi="Arial" w:cs="Arial"/>
          <w:color w:val="3B4658" w:themeColor="accent4" w:themeShade="80"/>
          <w:sz w:val="24"/>
          <w:szCs w:val="24"/>
        </w:rPr>
        <w:t>Do you have a process in place to ensure that VR is determining what pre-employment transition services a student may need and receives versus vendors directing that work?</w:t>
      </w:r>
    </w:p>
    <w:p w14:paraId="69E7010E" w14:textId="77777777" w:rsidR="006F0BA3" w:rsidRPr="004A34B0" w:rsidRDefault="006F0BA3" w:rsidP="003E2A2B">
      <w:pPr>
        <w:pStyle w:val="ListParagraph"/>
        <w:numPr>
          <w:ilvl w:val="0"/>
          <w:numId w:val="24"/>
        </w:numPr>
        <w:spacing w:line="240" w:lineRule="auto"/>
        <w:rPr>
          <w:rFonts w:ascii="Arial" w:hAnsi="Arial" w:cs="Arial"/>
          <w:b/>
          <w:bCs/>
          <w:color w:val="2B5258" w:themeColor="accent5" w:themeShade="80"/>
          <w:sz w:val="24"/>
          <w:szCs w:val="24"/>
        </w:rPr>
      </w:pPr>
      <w:r w:rsidRPr="004A34B0">
        <w:rPr>
          <w:rFonts w:ascii="Arial" w:hAnsi="Arial" w:cs="Arial"/>
          <w:b/>
          <w:bCs/>
          <w:i/>
          <w:iCs/>
          <w:color w:val="2B5258" w:themeColor="accent5" w:themeShade="80"/>
          <w:sz w:val="24"/>
          <w:szCs w:val="24"/>
        </w:rPr>
        <w:t>Cautionary note: at no time may you delegate your authority to determine who gets the services and the services they receive to your vendors. These responsibilities remain as non-delegable functions of the VR program. </w:t>
      </w:r>
    </w:p>
    <w:p w14:paraId="5E207623" w14:textId="77777777" w:rsidR="003E2A2B" w:rsidRDefault="003E2A2B" w:rsidP="003E2A2B">
      <w:pPr>
        <w:pStyle w:val="ListParagraph"/>
        <w:ind w:left="2160"/>
        <w:rPr>
          <w:rFonts w:ascii="Arial" w:hAnsi="Arial" w:cs="Arial"/>
          <w:color w:val="3B4658" w:themeColor="accent4" w:themeShade="80"/>
          <w:sz w:val="24"/>
          <w:szCs w:val="24"/>
        </w:rPr>
      </w:pPr>
    </w:p>
    <w:p w14:paraId="1E6106D1" w14:textId="77777777" w:rsidR="006F0BA3" w:rsidRPr="003E2A2B" w:rsidRDefault="006F0BA3" w:rsidP="003E2A2B">
      <w:pPr>
        <w:pStyle w:val="ListParagraph"/>
        <w:numPr>
          <w:ilvl w:val="0"/>
          <w:numId w:val="22"/>
        </w:numPr>
        <w:rPr>
          <w:rFonts w:ascii="Arial" w:hAnsi="Arial" w:cs="Arial"/>
          <w:color w:val="3B4658" w:themeColor="accent4" w:themeShade="80"/>
          <w:sz w:val="24"/>
          <w:szCs w:val="24"/>
        </w:rPr>
      </w:pPr>
      <w:r w:rsidRPr="003E2A2B">
        <w:rPr>
          <w:rFonts w:ascii="Arial" w:hAnsi="Arial" w:cs="Arial"/>
          <w:color w:val="3B4658" w:themeColor="accent4" w:themeShade="80"/>
          <w:sz w:val="24"/>
          <w:szCs w:val="24"/>
        </w:rPr>
        <w:t>Are you having issues finding vendors with whom you can contract to provide pre-employment transition services? </w:t>
      </w:r>
    </w:p>
    <w:p w14:paraId="0B4F3B33" w14:textId="77777777" w:rsidR="006F0BA3" w:rsidRPr="004A34B0" w:rsidRDefault="006F0BA3" w:rsidP="003E2A2B">
      <w:pPr>
        <w:pStyle w:val="ListParagraph"/>
        <w:numPr>
          <w:ilvl w:val="0"/>
          <w:numId w:val="16"/>
        </w:numPr>
        <w:spacing w:line="240" w:lineRule="auto"/>
        <w:rPr>
          <w:rFonts w:ascii="Arial" w:hAnsi="Arial" w:cs="Arial"/>
          <w:color w:val="2B5258" w:themeColor="accent5" w:themeShade="80"/>
          <w:sz w:val="24"/>
          <w:szCs w:val="24"/>
        </w:rPr>
      </w:pPr>
      <w:r w:rsidRPr="004A34B0">
        <w:rPr>
          <w:rFonts w:ascii="Arial" w:hAnsi="Arial" w:cs="Arial"/>
          <w:color w:val="2B5258" w:themeColor="accent5" w:themeShade="80"/>
          <w:sz w:val="24"/>
          <w:szCs w:val="24"/>
        </w:rPr>
        <w:t xml:space="preserve">Given the move to virtual service delivery, some vendors provide services nationwide. Consult with your colleagues in other state agencies by placing a question through the </w:t>
      </w:r>
      <w:r w:rsidR="003E2A2B" w:rsidRPr="004A34B0">
        <w:rPr>
          <w:rFonts w:ascii="Arial" w:hAnsi="Arial" w:cs="Arial"/>
          <w:color w:val="2B5258" w:themeColor="accent5" w:themeShade="80"/>
          <w:sz w:val="24"/>
          <w:szCs w:val="24"/>
        </w:rPr>
        <w:t>CSAVR/NCSAB listservs to get more information about those potential options.</w:t>
      </w:r>
    </w:p>
    <w:p w14:paraId="799EBAA3" w14:textId="77777777" w:rsidR="003E2A2B" w:rsidRPr="003E2A2B" w:rsidRDefault="003E2A2B" w:rsidP="003E2A2B">
      <w:pPr>
        <w:pStyle w:val="ListParagraph"/>
        <w:spacing w:line="240" w:lineRule="auto"/>
        <w:ind w:left="2160"/>
        <w:rPr>
          <w:rFonts w:ascii="Arial" w:hAnsi="Arial" w:cs="Arial"/>
          <w:color w:val="417A84" w:themeColor="accent5" w:themeShade="BF"/>
          <w:sz w:val="24"/>
          <w:szCs w:val="24"/>
        </w:rPr>
      </w:pPr>
    </w:p>
    <w:p w14:paraId="596AF85F" w14:textId="230DBCA2" w:rsidR="003E2A2B" w:rsidRDefault="003E2A2B" w:rsidP="003B163B">
      <w:pPr>
        <w:pStyle w:val="ListParagraph"/>
        <w:numPr>
          <w:ilvl w:val="0"/>
          <w:numId w:val="2"/>
        </w:numPr>
        <w:spacing w:before="240" w:after="0" w:line="240" w:lineRule="auto"/>
        <w:textAlignment w:val="baseline"/>
        <w:rPr>
          <w:rFonts w:ascii="Arial" w:eastAsia="Times New Roman" w:hAnsi="Arial" w:cs="Arial"/>
          <w:b/>
          <w:bCs/>
          <w:color w:val="3B4658" w:themeColor="accent4" w:themeShade="80"/>
          <w:kern w:val="0"/>
          <w:sz w:val="24"/>
          <w:szCs w:val="24"/>
          <w:lang w:eastAsia="en-US"/>
        </w:rPr>
      </w:pPr>
      <w:r w:rsidRPr="003E2A2B">
        <w:rPr>
          <w:rFonts w:ascii="Arial" w:eastAsia="Times New Roman" w:hAnsi="Arial" w:cs="Arial"/>
          <w:b/>
          <w:bCs/>
          <w:color w:val="3B4658" w:themeColor="accent4" w:themeShade="80"/>
          <w:kern w:val="0"/>
          <w:sz w:val="24"/>
          <w:szCs w:val="24"/>
          <w:lang w:eastAsia="en-US"/>
        </w:rPr>
        <w:t>If you have a process to determine what IDEA transition-related services students with disabilities are already receiving through the local educational agency, be sure the process is effective. </w:t>
      </w:r>
    </w:p>
    <w:p w14:paraId="610A6366" w14:textId="77777777" w:rsidR="003B163B" w:rsidRPr="003B163B" w:rsidRDefault="003B163B" w:rsidP="003B163B">
      <w:pPr>
        <w:pStyle w:val="ListParagraph"/>
        <w:spacing w:before="240" w:after="0" w:line="240" w:lineRule="auto"/>
        <w:textAlignment w:val="baseline"/>
        <w:rPr>
          <w:rFonts w:ascii="Arial" w:eastAsia="Times New Roman" w:hAnsi="Arial" w:cs="Arial"/>
          <w:b/>
          <w:bCs/>
          <w:color w:val="3B4658" w:themeColor="accent4" w:themeShade="80"/>
          <w:kern w:val="0"/>
          <w:sz w:val="4"/>
          <w:szCs w:val="4"/>
          <w:lang w:eastAsia="en-US"/>
        </w:rPr>
      </w:pPr>
    </w:p>
    <w:p w14:paraId="77C749C5" w14:textId="77777777" w:rsidR="003E2A2B" w:rsidRPr="003E2A2B" w:rsidRDefault="003E2A2B" w:rsidP="003E2A2B">
      <w:pPr>
        <w:numPr>
          <w:ilvl w:val="1"/>
          <w:numId w:val="26"/>
        </w:numPr>
        <w:spacing w:before="120" w:after="120" w:line="240" w:lineRule="auto"/>
        <w:textAlignment w:val="baseline"/>
        <w:rPr>
          <w:rFonts w:ascii="Arial" w:eastAsia="Times New Roman" w:hAnsi="Arial" w:cs="Arial"/>
          <w:color w:val="3B4658" w:themeColor="accent4" w:themeShade="80"/>
          <w:kern w:val="0"/>
          <w:sz w:val="24"/>
          <w:szCs w:val="24"/>
          <w:lang w:eastAsia="en-US"/>
        </w:rPr>
      </w:pPr>
      <w:r w:rsidRPr="003E2A2B">
        <w:rPr>
          <w:rFonts w:ascii="Arial" w:eastAsia="Times New Roman" w:hAnsi="Arial" w:cs="Arial"/>
          <w:color w:val="3B4658" w:themeColor="accent4" w:themeShade="80"/>
          <w:kern w:val="0"/>
          <w:sz w:val="24"/>
          <w:szCs w:val="24"/>
          <w:lang w:eastAsia="en-US"/>
        </w:rPr>
        <w:t>How do you determine what pre-employment transition services a student with a disability may need? </w:t>
      </w:r>
    </w:p>
    <w:p w14:paraId="33661509" w14:textId="77777777" w:rsidR="003E2A2B" w:rsidRPr="003E2A2B" w:rsidRDefault="003E2A2B" w:rsidP="003E2A2B">
      <w:pPr>
        <w:numPr>
          <w:ilvl w:val="2"/>
          <w:numId w:val="27"/>
        </w:numPr>
        <w:spacing w:before="120" w:after="120" w:line="240" w:lineRule="auto"/>
        <w:textAlignment w:val="baseline"/>
        <w:rPr>
          <w:rFonts w:ascii="Arial" w:eastAsia="Times New Roman" w:hAnsi="Arial" w:cs="Arial"/>
          <w:color w:val="3B4658" w:themeColor="accent4" w:themeShade="80"/>
          <w:kern w:val="0"/>
          <w:sz w:val="24"/>
          <w:szCs w:val="24"/>
          <w:lang w:eastAsia="en-US"/>
        </w:rPr>
      </w:pPr>
      <w:r w:rsidRPr="004A34B0">
        <w:rPr>
          <w:rFonts w:ascii="Arial" w:eastAsia="Times New Roman" w:hAnsi="Arial" w:cs="Arial"/>
          <w:color w:val="2B5258" w:themeColor="accent5" w:themeShade="80"/>
          <w:kern w:val="0"/>
          <w:sz w:val="24"/>
          <w:szCs w:val="24"/>
          <w:lang w:eastAsia="en-US"/>
        </w:rPr>
        <w:t xml:space="preserve">The formal interagency agreement </w:t>
      </w:r>
      <w:r w:rsidRPr="003E2A2B">
        <w:rPr>
          <w:rFonts w:ascii="Arial" w:eastAsia="Times New Roman" w:hAnsi="Arial" w:cs="Arial"/>
          <w:color w:val="3B4658" w:themeColor="accent4" w:themeShade="80"/>
          <w:kern w:val="0"/>
          <w:sz w:val="24"/>
          <w:szCs w:val="24"/>
          <w:lang w:eastAsia="en-US"/>
        </w:rPr>
        <w:t>between a VR agency and State educational agency (SEA) should include how students and their need for pre-employment transition services are identified; how referrals are made to the VR program; and how services are coordinated or provided by VR agencies and LEAs. </w:t>
      </w:r>
    </w:p>
    <w:p w14:paraId="6E41C785" w14:textId="25FF8681" w:rsidR="003E2A2B" w:rsidRPr="003E2A2B" w:rsidRDefault="003E2A2B" w:rsidP="003E2A2B">
      <w:pPr>
        <w:numPr>
          <w:ilvl w:val="2"/>
          <w:numId w:val="27"/>
        </w:numPr>
        <w:spacing w:before="120" w:after="120" w:line="240" w:lineRule="auto"/>
        <w:textAlignment w:val="baseline"/>
        <w:rPr>
          <w:rFonts w:ascii="Arial" w:eastAsia="Times New Roman" w:hAnsi="Arial" w:cs="Arial"/>
          <w:color w:val="3B4658" w:themeColor="accent4" w:themeShade="80"/>
          <w:kern w:val="0"/>
          <w:sz w:val="24"/>
          <w:szCs w:val="24"/>
          <w:lang w:eastAsia="en-US"/>
        </w:rPr>
      </w:pPr>
      <w:r w:rsidRPr="004A34B0">
        <w:rPr>
          <w:rFonts w:ascii="Arial" w:eastAsia="Times New Roman" w:hAnsi="Arial" w:cs="Arial"/>
          <w:color w:val="2B5258" w:themeColor="accent5" w:themeShade="80"/>
          <w:kern w:val="0"/>
          <w:sz w:val="24"/>
          <w:szCs w:val="24"/>
          <w:shd w:val="clear" w:color="auto" w:fill="FFFFFF"/>
          <w:lang w:eastAsia="en-US"/>
        </w:rPr>
        <w:lastRenderedPageBreak/>
        <w:t xml:space="preserve">Some agencies develop yearly plans </w:t>
      </w:r>
      <w:r w:rsidRPr="003E2A2B">
        <w:rPr>
          <w:rFonts w:ascii="Arial" w:eastAsia="Times New Roman" w:hAnsi="Arial" w:cs="Arial"/>
          <w:color w:val="3B4658" w:themeColor="accent4" w:themeShade="80"/>
          <w:kern w:val="0"/>
          <w:sz w:val="24"/>
          <w:szCs w:val="24"/>
          <w:shd w:val="clear" w:color="auto" w:fill="FFFFFF"/>
          <w:lang w:eastAsia="en-US"/>
        </w:rPr>
        <w:t>between the state and local education agencies and VR that outline the number of students with disabilities in the district, the services available under IDEA, and the services VR may provide through pre-employment transition services and VR transition services. </w:t>
      </w:r>
      <w:r w:rsidR="003B163B" w:rsidRPr="003B163B">
        <w:rPr>
          <w:rFonts w:ascii="Arial" w:eastAsia="Times New Roman" w:hAnsi="Arial" w:cs="Arial"/>
          <w:color w:val="3B4658" w:themeColor="accent4" w:themeShade="80"/>
          <w:kern w:val="0"/>
          <w:sz w:val="24"/>
          <w:szCs w:val="24"/>
          <w:shd w:val="clear" w:color="auto" w:fill="FFFFFF"/>
          <w:lang w:eastAsia="en-US"/>
        </w:rPr>
        <w:t xml:space="preserve">(See </w:t>
      </w:r>
      <w:hyperlink r:id="rId16" w:history="1">
        <w:r w:rsidR="003B163B" w:rsidRPr="009D12DE">
          <w:rPr>
            <w:rStyle w:val="Hyperlink"/>
            <w:rFonts w:ascii="Arial" w:eastAsia="Times New Roman" w:hAnsi="Arial" w:cs="Arial"/>
            <w:color w:val="002060"/>
            <w:kern w:val="0"/>
            <w:sz w:val="24"/>
            <w:szCs w:val="24"/>
            <w:shd w:val="clear" w:color="auto" w:fill="FFFFFF"/>
            <w:lang w:eastAsia="en-US"/>
          </w:rPr>
          <w:t>Collaboration Guide</w:t>
        </w:r>
      </w:hyperlink>
      <w:r w:rsidR="003B163B" w:rsidRPr="009D12DE">
        <w:rPr>
          <w:rFonts w:ascii="Arial" w:eastAsia="Times New Roman" w:hAnsi="Arial" w:cs="Arial"/>
          <w:color w:val="002060"/>
          <w:kern w:val="0"/>
          <w:sz w:val="24"/>
          <w:szCs w:val="24"/>
          <w:shd w:val="clear" w:color="auto" w:fill="FFFFFF"/>
          <w:lang w:eastAsia="en-US"/>
        </w:rPr>
        <w:t xml:space="preserve"> </w:t>
      </w:r>
      <w:r w:rsidR="003B163B" w:rsidRPr="003B163B">
        <w:rPr>
          <w:rFonts w:ascii="Arial" w:eastAsia="Times New Roman" w:hAnsi="Arial" w:cs="Arial"/>
          <w:color w:val="3B4658" w:themeColor="accent4" w:themeShade="80"/>
          <w:kern w:val="0"/>
          <w:sz w:val="24"/>
          <w:szCs w:val="24"/>
          <w:shd w:val="clear" w:color="auto" w:fill="FFFFFF"/>
          <w:lang w:eastAsia="en-US"/>
        </w:rPr>
        <w:t>appendix for examples of action plans and more information).</w:t>
      </w:r>
    </w:p>
    <w:p w14:paraId="6C901D91" w14:textId="77777777" w:rsidR="003E2A2B" w:rsidRPr="003E2A2B" w:rsidRDefault="003E2A2B" w:rsidP="003E2A2B">
      <w:pPr>
        <w:numPr>
          <w:ilvl w:val="2"/>
          <w:numId w:val="27"/>
        </w:numPr>
        <w:spacing w:before="120" w:after="120" w:line="240" w:lineRule="auto"/>
        <w:textAlignment w:val="baseline"/>
        <w:rPr>
          <w:rFonts w:ascii="Arial" w:eastAsia="Times New Roman" w:hAnsi="Arial" w:cs="Arial"/>
          <w:color w:val="3B4658" w:themeColor="accent4" w:themeShade="80"/>
          <w:kern w:val="0"/>
          <w:sz w:val="24"/>
          <w:szCs w:val="24"/>
          <w:lang w:eastAsia="en-US"/>
        </w:rPr>
      </w:pPr>
      <w:r w:rsidRPr="003E2A2B">
        <w:rPr>
          <w:rFonts w:ascii="Arial" w:eastAsia="Times New Roman" w:hAnsi="Arial" w:cs="Arial"/>
          <w:color w:val="3B4658" w:themeColor="accent4" w:themeShade="80"/>
          <w:kern w:val="0"/>
          <w:sz w:val="24"/>
          <w:szCs w:val="24"/>
          <w:shd w:val="clear" w:color="auto" w:fill="FFFFFF"/>
          <w:lang w:eastAsia="en-US"/>
        </w:rPr>
        <w:t xml:space="preserve">Other </w:t>
      </w:r>
      <w:r w:rsidRPr="004A34B0">
        <w:rPr>
          <w:rFonts w:ascii="Arial" w:eastAsia="Times New Roman" w:hAnsi="Arial" w:cs="Arial"/>
          <w:color w:val="2B5258" w:themeColor="accent5" w:themeShade="80"/>
          <w:kern w:val="0"/>
          <w:sz w:val="24"/>
          <w:szCs w:val="24"/>
          <w:shd w:val="clear" w:color="auto" w:fill="FFFFFF"/>
          <w:lang w:eastAsia="en-US"/>
        </w:rPr>
        <w:t xml:space="preserve">agencies have worked with education to embed codes into the IEP that align with pre-employment transition services </w:t>
      </w:r>
      <w:r w:rsidRPr="003E2A2B">
        <w:rPr>
          <w:rFonts w:ascii="Arial" w:eastAsia="Times New Roman" w:hAnsi="Arial" w:cs="Arial"/>
          <w:color w:val="3B4658" w:themeColor="accent4" w:themeShade="80"/>
          <w:kern w:val="0"/>
          <w:sz w:val="24"/>
          <w:szCs w:val="24"/>
          <w:shd w:val="clear" w:color="auto" w:fill="FFFFFF"/>
          <w:lang w:eastAsia="en-US"/>
        </w:rPr>
        <w:t xml:space="preserve">to determine what is already being provided and what the student may need. </w:t>
      </w:r>
      <w:r w:rsidRPr="003E2A2B">
        <w:rPr>
          <w:rFonts w:ascii="Arial" w:eastAsia="Times New Roman" w:hAnsi="Arial" w:cs="Arial"/>
          <w:color w:val="3B4658" w:themeColor="accent4" w:themeShade="80"/>
          <w:kern w:val="0"/>
          <w:sz w:val="24"/>
          <w:szCs w:val="24"/>
          <w:lang w:eastAsia="en-US"/>
        </w:rPr>
        <w:t>It is important to note that a VR agency can only fund those pre-employment transition services it authorized to provide to students known to the VR program. </w:t>
      </w:r>
    </w:p>
    <w:p w14:paraId="6FCB4560" w14:textId="77777777" w:rsidR="003E2A2B" w:rsidRPr="00F068C9" w:rsidRDefault="003E2A2B" w:rsidP="003E2A2B">
      <w:pPr>
        <w:numPr>
          <w:ilvl w:val="2"/>
          <w:numId w:val="27"/>
        </w:numPr>
        <w:spacing w:before="120" w:after="120" w:line="240" w:lineRule="auto"/>
        <w:textAlignment w:val="baseline"/>
        <w:rPr>
          <w:rFonts w:ascii="Arial" w:eastAsia="Times New Roman" w:hAnsi="Arial" w:cs="Arial"/>
          <w:color w:val="3B4658" w:themeColor="accent4" w:themeShade="80"/>
          <w:kern w:val="0"/>
          <w:sz w:val="24"/>
          <w:szCs w:val="24"/>
          <w:lang w:eastAsia="en-US"/>
        </w:rPr>
      </w:pPr>
      <w:r w:rsidRPr="003E2A2B">
        <w:rPr>
          <w:rFonts w:ascii="Arial" w:eastAsia="Times New Roman" w:hAnsi="Arial" w:cs="Arial"/>
          <w:color w:val="3B4658" w:themeColor="accent4" w:themeShade="80"/>
          <w:kern w:val="0"/>
          <w:sz w:val="24"/>
          <w:szCs w:val="24"/>
          <w:shd w:val="clear" w:color="auto" w:fill="FFFFFF"/>
          <w:lang w:eastAsia="en-US"/>
        </w:rPr>
        <w:t xml:space="preserve">What is important to consider is that you </w:t>
      </w:r>
      <w:r w:rsidRPr="0090586D">
        <w:rPr>
          <w:rFonts w:ascii="Arial" w:eastAsia="Times New Roman" w:hAnsi="Arial" w:cs="Arial"/>
          <w:color w:val="2B5258" w:themeColor="accent5" w:themeShade="80"/>
          <w:kern w:val="0"/>
          <w:sz w:val="24"/>
          <w:szCs w:val="24"/>
          <w:shd w:val="clear" w:color="auto" w:fill="FFFFFF"/>
          <w:lang w:eastAsia="en-US"/>
        </w:rPr>
        <w:t>develop a process to help identify the needs of students.</w:t>
      </w:r>
      <w:r w:rsidRPr="003E2A2B">
        <w:rPr>
          <w:rFonts w:ascii="Arial" w:eastAsia="Times New Roman" w:hAnsi="Arial" w:cs="Arial"/>
          <w:color w:val="417A84" w:themeColor="accent5" w:themeShade="BF"/>
          <w:kern w:val="0"/>
          <w:sz w:val="24"/>
          <w:szCs w:val="24"/>
          <w:shd w:val="clear" w:color="auto" w:fill="FFFFFF"/>
          <w:lang w:eastAsia="en-US"/>
        </w:rPr>
        <w:t xml:space="preserve">  </w:t>
      </w:r>
      <w:r w:rsidRPr="003E2A2B">
        <w:rPr>
          <w:rFonts w:ascii="Arial" w:eastAsia="Times New Roman" w:hAnsi="Arial" w:cs="Arial"/>
          <w:color w:val="3B4658" w:themeColor="accent4" w:themeShade="80"/>
          <w:kern w:val="0"/>
          <w:sz w:val="24"/>
          <w:szCs w:val="24"/>
          <w:shd w:val="clear" w:color="auto" w:fill="FFFFFF"/>
          <w:lang w:eastAsia="en-US"/>
        </w:rPr>
        <w:t>Additionally, it is essential to recognize that each student may have different needs based on their interests and unique circumstances. </w:t>
      </w:r>
    </w:p>
    <w:p w14:paraId="00DFE4D1" w14:textId="77777777" w:rsidR="00F068C9" w:rsidRPr="003E2A2B" w:rsidRDefault="00F068C9" w:rsidP="00F67E1D">
      <w:pPr>
        <w:spacing w:before="120" w:after="120" w:line="240" w:lineRule="auto"/>
        <w:textAlignment w:val="baseline"/>
        <w:rPr>
          <w:rFonts w:ascii="Arial" w:eastAsia="Times New Roman" w:hAnsi="Arial" w:cs="Arial"/>
          <w:color w:val="3B4658" w:themeColor="accent4" w:themeShade="80"/>
          <w:kern w:val="0"/>
          <w:sz w:val="8"/>
          <w:szCs w:val="8"/>
          <w:lang w:eastAsia="en-US"/>
        </w:rPr>
      </w:pPr>
    </w:p>
    <w:p w14:paraId="2859CDDD" w14:textId="77777777" w:rsidR="003E2A2B" w:rsidRPr="00F068C9" w:rsidRDefault="003E2A2B" w:rsidP="00F068C9">
      <w:pPr>
        <w:pStyle w:val="ListParagraph"/>
        <w:numPr>
          <w:ilvl w:val="0"/>
          <w:numId w:val="2"/>
        </w:numPr>
        <w:spacing w:before="240" w:after="240" w:line="240" w:lineRule="auto"/>
        <w:textAlignment w:val="baseline"/>
        <w:rPr>
          <w:rFonts w:ascii="Arial" w:eastAsia="Times New Roman" w:hAnsi="Arial" w:cs="Arial"/>
          <w:b/>
          <w:bCs/>
          <w:color w:val="3B4658" w:themeColor="accent4" w:themeShade="80"/>
          <w:kern w:val="0"/>
          <w:sz w:val="24"/>
          <w:szCs w:val="24"/>
          <w:lang w:eastAsia="en-US"/>
        </w:rPr>
      </w:pPr>
      <w:r w:rsidRPr="00F068C9">
        <w:rPr>
          <w:rFonts w:ascii="Arial" w:eastAsia="Times New Roman" w:hAnsi="Arial" w:cs="Arial"/>
          <w:b/>
          <w:bCs/>
          <w:color w:val="3B4658" w:themeColor="accent4" w:themeShade="80"/>
          <w:kern w:val="0"/>
          <w:sz w:val="24"/>
          <w:szCs w:val="24"/>
          <w:lang w:eastAsia="en-US"/>
        </w:rPr>
        <w:t>Identify a process to guide staff on how students with disabilities progress through the continuum of VR services (pre-employment transition services, VR transition services, employment-related VR services).</w:t>
      </w:r>
      <w:r w:rsidRPr="00F068C9">
        <w:rPr>
          <w:rFonts w:ascii="Arial" w:eastAsia="Times New Roman" w:hAnsi="Arial" w:cs="Arial"/>
          <w:color w:val="3B4658" w:themeColor="accent4" w:themeShade="80"/>
          <w:kern w:val="0"/>
          <w:sz w:val="24"/>
          <w:szCs w:val="24"/>
          <w:lang w:eastAsia="en-US"/>
        </w:rPr>
        <w:t> </w:t>
      </w:r>
    </w:p>
    <w:p w14:paraId="183B6A03" w14:textId="77777777" w:rsidR="003E2A2B" w:rsidRPr="003E2A2B" w:rsidRDefault="003E2A2B" w:rsidP="003E2A2B">
      <w:pPr>
        <w:numPr>
          <w:ilvl w:val="0"/>
          <w:numId w:val="28"/>
        </w:numPr>
        <w:spacing w:before="120" w:after="120" w:line="240" w:lineRule="auto"/>
        <w:ind w:left="1440"/>
        <w:textAlignment w:val="baseline"/>
        <w:rPr>
          <w:rFonts w:ascii="Arial" w:eastAsia="Times New Roman" w:hAnsi="Arial" w:cs="Arial"/>
          <w:color w:val="3B4658" w:themeColor="accent4" w:themeShade="80"/>
          <w:kern w:val="0"/>
          <w:sz w:val="24"/>
          <w:szCs w:val="24"/>
          <w:lang w:eastAsia="en-US"/>
        </w:rPr>
      </w:pPr>
      <w:r w:rsidRPr="003E2A2B">
        <w:rPr>
          <w:rFonts w:ascii="Arial" w:eastAsia="Times New Roman" w:hAnsi="Arial" w:cs="Arial"/>
          <w:color w:val="3B4658" w:themeColor="accent4" w:themeShade="80"/>
          <w:kern w:val="0"/>
          <w:sz w:val="24"/>
          <w:szCs w:val="24"/>
          <w:lang w:eastAsia="en-US"/>
        </w:rPr>
        <w:t>Define the process in agency policies and procedures so staff can guide students with disabilities and their families through this progression to ensure a seamless transition without duplication.</w:t>
      </w:r>
    </w:p>
    <w:p w14:paraId="3A5EA216" w14:textId="77777777" w:rsidR="003E2A2B" w:rsidRPr="0090586D" w:rsidRDefault="003E2A2B" w:rsidP="00F068C9">
      <w:pPr>
        <w:pStyle w:val="ListParagraph"/>
        <w:numPr>
          <w:ilvl w:val="0"/>
          <w:numId w:val="39"/>
        </w:numPr>
        <w:spacing w:before="120" w:after="120" w:line="240" w:lineRule="auto"/>
        <w:textAlignment w:val="baseline"/>
        <w:rPr>
          <w:rFonts w:ascii="Arial" w:eastAsia="Times New Roman" w:hAnsi="Arial" w:cs="Arial"/>
          <w:color w:val="2B5258" w:themeColor="accent5" w:themeShade="80"/>
          <w:kern w:val="0"/>
          <w:sz w:val="24"/>
          <w:szCs w:val="24"/>
          <w:lang w:eastAsia="en-US"/>
        </w:rPr>
      </w:pPr>
      <w:r w:rsidRPr="0090586D">
        <w:rPr>
          <w:rFonts w:ascii="Arial" w:eastAsia="Times New Roman" w:hAnsi="Arial" w:cs="Arial"/>
          <w:color w:val="2B5258" w:themeColor="accent5" w:themeShade="80"/>
          <w:kern w:val="0"/>
          <w:sz w:val="24"/>
          <w:szCs w:val="24"/>
          <w:lang w:eastAsia="en-US"/>
        </w:rPr>
        <w:t xml:space="preserve">A defined process (based on individual needs) that will help staff efficiently and effectively move students through the activities and better utilize time and resources. </w:t>
      </w:r>
      <w:r w:rsidRPr="0090586D">
        <w:rPr>
          <w:rFonts w:ascii="Arial" w:eastAsia="Times New Roman" w:hAnsi="Arial" w:cs="Arial"/>
          <w:b/>
          <w:color w:val="2B5258" w:themeColor="accent5" w:themeShade="80"/>
          <w:kern w:val="0"/>
          <w:sz w:val="24"/>
          <w:szCs w:val="24"/>
          <w:lang w:eastAsia="en-US"/>
        </w:rPr>
        <w:t>*Remember not to set any arbitrary limits on the nature and scope of VR services, including pre-employment transition services.</w:t>
      </w:r>
    </w:p>
    <w:p w14:paraId="5B7CEF88" w14:textId="77777777" w:rsidR="00F068C9" w:rsidRPr="0090586D" w:rsidRDefault="00F068C9" w:rsidP="00F068C9">
      <w:pPr>
        <w:pStyle w:val="ListParagraph"/>
        <w:spacing w:before="120" w:after="120" w:line="240" w:lineRule="auto"/>
        <w:ind w:left="2160"/>
        <w:textAlignment w:val="baseline"/>
        <w:rPr>
          <w:rFonts w:ascii="Arial" w:eastAsia="Times New Roman" w:hAnsi="Arial" w:cs="Arial"/>
          <w:color w:val="2B5258" w:themeColor="accent5" w:themeShade="80"/>
          <w:kern w:val="0"/>
          <w:sz w:val="16"/>
          <w:szCs w:val="16"/>
          <w:lang w:eastAsia="en-US"/>
        </w:rPr>
      </w:pPr>
    </w:p>
    <w:p w14:paraId="62FE2C24" w14:textId="77777777" w:rsidR="003E2A2B" w:rsidRDefault="003E2A2B" w:rsidP="00F068C9">
      <w:pPr>
        <w:pStyle w:val="ListParagraph"/>
        <w:numPr>
          <w:ilvl w:val="0"/>
          <w:numId w:val="16"/>
        </w:numPr>
        <w:spacing w:before="120" w:after="120" w:line="240" w:lineRule="auto"/>
        <w:textAlignment w:val="baseline"/>
        <w:rPr>
          <w:rFonts w:ascii="Arial" w:eastAsia="Times New Roman" w:hAnsi="Arial" w:cs="Arial"/>
          <w:color w:val="417A84" w:themeColor="accent5" w:themeShade="BF"/>
          <w:kern w:val="0"/>
          <w:sz w:val="24"/>
          <w:szCs w:val="24"/>
          <w:lang w:eastAsia="en-US"/>
        </w:rPr>
      </w:pPr>
      <w:r w:rsidRPr="0090586D">
        <w:rPr>
          <w:rFonts w:ascii="Arial" w:eastAsia="Times New Roman" w:hAnsi="Arial" w:cs="Arial"/>
          <w:b/>
          <w:color w:val="2B5258" w:themeColor="accent5" w:themeShade="80"/>
          <w:kern w:val="0"/>
          <w:sz w:val="24"/>
          <w:szCs w:val="24"/>
          <w:lang w:eastAsia="en-US"/>
        </w:rPr>
        <w:t>Example</w:t>
      </w:r>
      <w:r w:rsidRPr="0090586D">
        <w:rPr>
          <w:rFonts w:ascii="Arial" w:eastAsia="Times New Roman" w:hAnsi="Arial" w:cs="Arial"/>
          <w:color w:val="2B5258" w:themeColor="accent5" w:themeShade="80"/>
          <w:kern w:val="0"/>
          <w:sz w:val="24"/>
          <w:szCs w:val="24"/>
          <w:lang w:eastAsia="en-US"/>
        </w:rPr>
        <w:t xml:space="preserve">: A student may be interested in a work </w:t>
      </w:r>
      <w:proofErr w:type="gramStart"/>
      <w:r w:rsidRPr="0090586D">
        <w:rPr>
          <w:rFonts w:ascii="Arial" w:eastAsia="Times New Roman" w:hAnsi="Arial" w:cs="Arial"/>
          <w:color w:val="2B5258" w:themeColor="accent5" w:themeShade="80"/>
          <w:kern w:val="0"/>
          <w:sz w:val="24"/>
          <w:szCs w:val="24"/>
          <w:lang w:eastAsia="en-US"/>
        </w:rPr>
        <w:t>experience, but</w:t>
      </w:r>
      <w:proofErr w:type="gramEnd"/>
      <w:r w:rsidRPr="0090586D">
        <w:rPr>
          <w:rFonts w:ascii="Arial" w:eastAsia="Times New Roman" w:hAnsi="Arial" w:cs="Arial"/>
          <w:color w:val="2B5258" w:themeColor="accent5" w:themeShade="80"/>
          <w:kern w:val="0"/>
          <w:sz w:val="24"/>
          <w:szCs w:val="24"/>
          <w:lang w:eastAsia="en-US"/>
        </w:rPr>
        <w:t xml:space="preserve"> needs to first explore</w:t>
      </w:r>
      <w:r w:rsidR="00F068C9" w:rsidRPr="0090586D">
        <w:rPr>
          <w:rFonts w:ascii="Arial" w:eastAsia="Times New Roman" w:hAnsi="Arial" w:cs="Arial"/>
          <w:color w:val="2B5258" w:themeColor="accent5" w:themeShade="80"/>
          <w:kern w:val="0"/>
          <w:sz w:val="24"/>
          <w:szCs w:val="24"/>
          <w:lang w:eastAsia="en-US"/>
        </w:rPr>
        <w:t xml:space="preserve"> his or her interests through </w:t>
      </w:r>
      <w:r w:rsidRPr="0090586D">
        <w:rPr>
          <w:rFonts w:ascii="Arial" w:eastAsia="Times New Roman" w:hAnsi="Arial" w:cs="Arial"/>
          <w:color w:val="2B5258" w:themeColor="accent5" w:themeShade="80"/>
          <w:kern w:val="0"/>
          <w:sz w:val="24"/>
          <w:szCs w:val="24"/>
          <w:lang w:eastAsia="en-US"/>
        </w:rPr>
        <w:t xml:space="preserve">workplace tours or job shadowing activities. Next, they might participate in mock interviews, which may lead </w:t>
      </w:r>
      <w:r w:rsidR="00F068C9" w:rsidRPr="0090586D">
        <w:rPr>
          <w:rFonts w:ascii="Arial" w:eastAsia="Times New Roman" w:hAnsi="Arial" w:cs="Arial"/>
          <w:color w:val="2B5258" w:themeColor="accent5" w:themeShade="80"/>
          <w:kern w:val="0"/>
          <w:sz w:val="24"/>
          <w:szCs w:val="24"/>
          <w:lang w:eastAsia="en-US"/>
        </w:rPr>
        <w:t xml:space="preserve">to </w:t>
      </w:r>
      <w:r w:rsidRPr="0090586D">
        <w:rPr>
          <w:rFonts w:ascii="Arial" w:eastAsia="Times New Roman" w:hAnsi="Arial" w:cs="Arial"/>
          <w:color w:val="2B5258" w:themeColor="accent5" w:themeShade="80"/>
          <w:kern w:val="0"/>
          <w:sz w:val="24"/>
          <w:szCs w:val="24"/>
          <w:lang w:eastAsia="en-US"/>
        </w:rPr>
        <w:t>paid work experiences or internships. Once a student completes these exploratory activities, they move on to VR transition services.</w:t>
      </w:r>
    </w:p>
    <w:p w14:paraId="4BF044F5" w14:textId="77777777" w:rsidR="001A6BC8" w:rsidRPr="00BB6F89" w:rsidRDefault="001A6BC8" w:rsidP="001A6BC8">
      <w:pPr>
        <w:pStyle w:val="ListParagraph"/>
        <w:spacing w:before="120" w:after="120" w:line="240" w:lineRule="auto"/>
        <w:ind w:left="2160"/>
        <w:textAlignment w:val="baseline"/>
        <w:rPr>
          <w:rFonts w:ascii="Arial" w:eastAsia="Times New Roman" w:hAnsi="Arial" w:cs="Arial"/>
          <w:color w:val="417A84" w:themeColor="accent5" w:themeShade="BF"/>
          <w:kern w:val="0"/>
          <w:sz w:val="16"/>
          <w:szCs w:val="16"/>
          <w:lang w:eastAsia="en-US"/>
        </w:rPr>
      </w:pPr>
    </w:p>
    <w:p w14:paraId="5B9249B6" w14:textId="77777777" w:rsidR="003E2A2B" w:rsidRDefault="003E2A2B" w:rsidP="003E2A2B">
      <w:pPr>
        <w:numPr>
          <w:ilvl w:val="0"/>
          <w:numId w:val="30"/>
        </w:numPr>
        <w:spacing w:before="120" w:after="120" w:line="240" w:lineRule="auto"/>
        <w:ind w:left="1440"/>
        <w:textAlignment w:val="baseline"/>
        <w:rPr>
          <w:rFonts w:ascii="Arial" w:eastAsia="Times New Roman" w:hAnsi="Arial" w:cs="Arial"/>
          <w:color w:val="3B4658" w:themeColor="accent4" w:themeShade="80"/>
          <w:kern w:val="0"/>
          <w:sz w:val="24"/>
          <w:szCs w:val="24"/>
          <w:lang w:eastAsia="en-US"/>
        </w:rPr>
      </w:pPr>
      <w:r w:rsidRPr="003E2A2B">
        <w:rPr>
          <w:rFonts w:ascii="Arial" w:eastAsia="Times New Roman" w:hAnsi="Arial" w:cs="Arial"/>
          <w:color w:val="3B4658" w:themeColor="accent4" w:themeShade="80"/>
          <w:kern w:val="0"/>
          <w:sz w:val="24"/>
          <w:szCs w:val="24"/>
          <w:lang w:eastAsia="en-US"/>
        </w:rPr>
        <w:t>Define a staff process in agency policies and procedures to determine when a potentially eligible student with a disability should be encouraged to apply for VR services.</w:t>
      </w:r>
    </w:p>
    <w:p w14:paraId="1622BBBD" w14:textId="77777777" w:rsidR="00BB6F89" w:rsidRPr="003E2A2B" w:rsidRDefault="00BB6F89" w:rsidP="00BB6F89">
      <w:pPr>
        <w:spacing w:before="120" w:after="120" w:line="240" w:lineRule="auto"/>
        <w:ind w:left="1440"/>
        <w:textAlignment w:val="baseline"/>
        <w:rPr>
          <w:rFonts w:ascii="Arial" w:eastAsia="Times New Roman" w:hAnsi="Arial" w:cs="Arial"/>
          <w:color w:val="3B4658" w:themeColor="accent4" w:themeShade="80"/>
          <w:kern w:val="0"/>
          <w:sz w:val="2"/>
          <w:szCs w:val="2"/>
          <w:lang w:eastAsia="en-US"/>
        </w:rPr>
      </w:pPr>
    </w:p>
    <w:p w14:paraId="4D88F55C" w14:textId="0F39A5C4" w:rsidR="003E2A2B" w:rsidRDefault="003E2A2B" w:rsidP="003E2A2B">
      <w:pPr>
        <w:numPr>
          <w:ilvl w:val="0"/>
          <w:numId w:val="31"/>
        </w:numPr>
        <w:spacing w:before="120" w:after="120" w:line="240" w:lineRule="auto"/>
        <w:ind w:left="1440"/>
        <w:textAlignment w:val="baseline"/>
        <w:rPr>
          <w:rFonts w:ascii="Arial" w:eastAsia="Times New Roman" w:hAnsi="Arial" w:cs="Arial"/>
          <w:color w:val="3B4658" w:themeColor="accent4" w:themeShade="80"/>
          <w:kern w:val="0"/>
          <w:sz w:val="24"/>
          <w:szCs w:val="24"/>
          <w:lang w:eastAsia="en-US"/>
        </w:rPr>
      </w:pPr>
      <w:r w:rsidRPr="003E2A2B">
        <w:rPr>
          <w:rFonts w:ascii="Arial" w:eastAsia="Times New Roman" w:hAnsi="Arial" w:cs="Arial"/>
          <w:color w:val="3B4658" w:themeColor="accent4" w:themeShade="80"/>
          <w:kern w:val="0"/>
          <w:sz w:val="24"/>
          <w:szCs w:val="24"/>
          <w:lang w:eastAsia="en-US"/>
        </w:rPr>
        <w:lastRenderedPageBreak/>
        <w:t>Layout the purpose for each set of services and identify outcome expectations. Pre-employment transition services can be provided to potentially eligible students with disabilities prior to and after they apply for VR services. At any time, potentially eli</w:t>
      </w:r>
      <w:r w:rsidR="001A6BC8">
        <w:rPr>
          <w:rFonts w:ascii="Arial" w:eastAsia="Times New Roman" w:hAnsi="Arial" w:cs="Arial"/>
          <w:color w:val="3B4658" w:themeColor="accent4" w:themeShade="80"/>
          <w:kern w:val="0"/>
          <w:sz w:val="24"/>
          <w:szCs w:val="24"/>
          <w:lang w:eastAsia="en-US"/>
        </w:rPr>
        <w:t xml:space="preserve">gible </w:t>
      </w:r>
      <w:r w:rsidRPr="003E2A2B">
        <w:rPr>
          <w:rFonts w:ascii="Arial" w:eastAsia="Times New Roman" w:hAnsi="Arial" w:cs="Arial"/>
          <w:color w:val="3B4658" w:themeColor="accent4" w:themeShade="80"/>
          <w:kern w:val="0"/>
          <w:sz w:val="24"/>
          <w:szCs w:val="24"/>
          <w:lang w:eastAsia="en-US"/>
        </w:rPr>
        <w:t>studen</w:t>
      </w:r>
      <w:r w:rsidR="001A6BC8">
        <w:rPr>
          <w:rFonts w:ascii="Arial" w:eastAsia="Times New Roman" w:hAnsi="Arial" w:cs="Arial"/>
          <w:color w:val="3B4658" w:themeColor="accent4" w:themeShade="80"/>
          <w:kern w:val="0"/>
          <w:sz w:val="24"/>
          <w:szCs w:val="24"/>
          <w:lang w:eastAsia="en-US"/>
        </w:rPr>
        <w:t xml:space="preserve">ts with disabilities may decide </w:t>
      </w:r>
      <w:r w:rsidRPr="003E2A2B">
        <w:rPr>
          <w:rFonts w:ascii="Arial" w:eastAsia="Times New Roman" w:hAnsi="Arial" w:cs="Arial"/>
          <w:color w:val="3B4658" w:themeColor="accent4" w:themeShade="80"/>
          <w:kern w:val="0"/>
          <w:sz w:val="24"/>
          <w:szCs w:val="24"/>
          <w:lang w:eastAsia="en-US"/>
        </w:rPr>
        <w:t xml:space="preserve">to apply for VR </w:t>
      </w:r>
      <w:proofErr w:type="gramStart"/>
      <w:r w:rsidRPr="003E2A2B">
        <w:rPr>
          <w:rFonts w:ascii="Arial" w:eastAsia="Times New Roman" w:hAnsi="Arial" w:cs="Arial"/>
          <w:color w:val="3B4658" w:themeColor="accent4" w:themeShade="80"/>
          <w:kern w:val="0"/>
          <w:sz w:val="24"/>
          <w:szCs w:val="24"/>
          <w:lang w:eastAsia="en-US"/>
        </w:rPr>
        <w:t>services,</w:t>
      </w:r>
      <w:r w:rsidR="00AB4F8E">
        <w:rPr>
          <w:rFonts w:ascii="Arial" w:eastAsia="Times New Roman" w:hAnsi="Arial" w:cs="Arial"/>
          <w:color w:val="3B4658" w:themeColor="accent4" w:themeShade="80"/>
          <w:kern w:val="0"/>
          <w:sz w:val="24"/>
          <w:szCs w:val="24"/>
          <w:lang w:eastAsia="en-US"/>
        </w:rPr>
        <w:t xml:space="preserve"> </w:t>
      </w:r>
      <w:r w:rsidRPr="003E2A2B">
        <w:rPr>
          <w:rFonts w:ascii="Arial" w:eastAsia="Times New Roman" w:hAnsi="Arial" w:cs="Arial"/>
          <w:color w:val="3B4658" w:themeColor="accent4" w:themeShade="80"/>
          <w:kern w:val="0"/>
          <w:sz w:val="24"/>
          <w:szCs w:val="24"/>
          <w:lang w:eastAsia="en-US"/>
        </w:rPr>
        <w:t>and</w:t>
      </w:r>
      <w:proofErr w:type="gramEnd"/>
      <w:r w:rsidRPr="003E2A2B">
        <w:rPr>
          <w:rFonts w:ascii="Arial" w:eastAsia="Times New Roman" w:hAnsi="Arial" w:cs="Arial"/>
          <w:color w:val="3B4658" w:themeColor="accent4" w:themeShade="80"/>
          <w:kern w:val="0"/>
          <w:sz w:val="24"/>
          <w:szCs w:val="24"/>
          <w:lang w:eastAsia="en-US"/>
        </w:rPr>
        <w:t xml:space="preserve"> continue to receive pre-employment transition services and individualized VR services as VR eligible students under an IPE; or may no longer need VR services. </w:t>
      </w:r>
    </w:p>
    <w:p w14:paraId="1A39B100" w14:textId="77777777" w:rsidR="00BB6F89" w:rsidRPr="003E2A2B" w:rsidRDefault="00BB6F89" w:rsidP="00BB6F89">
      <w:pPr>
        <w:spacing w:before="120" w:after="120" w:line="240" w:lineRule="auto"/>
        <w:ind w:left="1440"/>
        <w:textAlignment w:val="baseline"/>
        <w:rPr>
          <w:rFonts w:ascii="Arial" w:eastAsia="Times New Roman" w:hAnsi="Arial" w:cs="Arial"/>
          <w:color w:val="3B4658" w:themeColor="accent4" w:themeShade="80"/>
          <w:kern w:val="0"/>
          <w:sz w:val="2"/>
          <w:szCs w:val="2"/>
          <w:lang w:eastAsia="en-US"/>
        </w:rPr>
      </w:pPr>
    </w:p>
    <w:p w14:paraId="32481A07" w14:textId="77777777" w:rsidR="003E2A2B" w:rsidRPr="003E2A2B" w:rsidRDefault="003E2A2B" w:rsidP="003E2A2B">
      <w:pPr>
        <w:numPr>
          <w:ilvl w:val="0"/>
          <w:numId w:val="31"/>
        </w:numPr>
        <w:spacing w:before="120" w:after="120" w:line="240" w:lineRule="auto"/>
        <w:ind w:left="1440"/>
        <w:textAlignment w:val="baseline"/>
        <w:rPr>
          <w:rFonts w:ascii="Arial" w:eastAsia="Times New Roman" w:hAnsi="Arial" w:cs="Arial"/>
          <w:color w:val="3B4658" w:themeColor="accent4" w:themeShade="80"/>
          <w:kern w:val="0"/>
          <w:sz w:val="24"/>
          <w:szCs w:val="24"/>
          <w:lang w:eastAsia="en-US"/>
        </w:rPr>
      </w:pPr>
      <w:r w:rsidRPr="003E2A2B">
        <w:rPr>
          <w:rFonts w:ascii="Arial" w:eastAsia="Times New Roman" w:hAnsi="Arial" w:cs="Arial"/>
          <w:color w:val="3B4658" w:themeColor="accent4" w:themeShade="80"/>
          <w:kern w:val="0"/>
          <w:sz w:val="24"/>
          <w:szCs w:val="24"/>
          <w:lang w:eastAsia="en-US"/>
        </w:rPr>
        <w:t>Have a process for det</w:t>
      </w:r>
      <w:r w:rsidR="001A6BC8">
        <w:rPr>
          <w:rFonts w:ascii="Arial" w:eastAsia="Times New Roman" w:hAnsi="Arial" w:cs="Arial"/>
          <w:color w:val="3B4658" w:themeColor="accent4" w:themeShade="80"/>
          <w:kern w:val="0"/>
          <w:sz w:val="24"/>
          <w:szCs w:val="24"/>
          <w:lang w:eastAsia="en-US"/>
        </w:rPr>
        <w:t xml:space="preserve">ermining necessary </w:t>
      </w:r>
      <w:r w:rsidRPr="003E2A2B">
        <w:rPr>
          <w:rFonts w:ascii="Arial" w:eastAsia="Times New Roman" w:hAnsi="Arial" w:cs="Arial"/>
          <w:color w:val="3B4658" w:themeColor="accent4" w:themeShade="80"/>
          <w:kern w:val="0"/>
          <w:sz w:val="24"/>
          <w:szCs w:val="24"/>
          <w:lang w:eastAsia="en-US"/>
        </w:rPr>
        <w:t>services based on student need to explore his or her interests, streng</w:t>
      </w:r>
      <w:r w:rsidR="001A6BC8">
        <w:rPr>
          <w:rFonts w:ascii="Arial" w:eastAsia="Times New Roman" w:hAnsi="Arial" w:cs="Arial"/>
          <w:color w:val="3B4658" w:themeColor="accent4" w:themeShade="80"/>
          <w:kern w:val="0"/>
          <w:sz w:val="24"/>
          <w:szCs w:val="24"/>
          <w:lang w:eastAsia="en-US"/>
        </w:rPr>
        <w:t xml:space="preserve">ths, </w:t>
      </w:r>
      <w:proofErr w:type="gramStart"/>
      <w:r w:rsidR="001A6BC8">
        <w:rPr>
          <w:rFonts w:ascii="Arial" w:eastAsia="Times New Roman" w:hAnsi="Arial" w:cs="Arial"/>
          <w:color w:val="3B4658" w:themeColor="accent4" w:themeShade="80"/>
          <w:kern w:val="0"/>
          <w:sz w:val="24"/>
          <w:szCs w:val="24"/>
          <w:lang w:eastAsia="en-US"/>
        </w:rPr>
        <w:t>abilities</w:t>
      </w:r>
      <w:proofErr w:type="gramEnd"/>
      <w:r w:rsidR="001A6BC8">
        <w:rPr>
          <w:rFonts w:ascii="Arial" w:eastAsia="Times New Roman" w:hAnsi="Arial" w:cs="Arial"/>
          <w:color w:val="3B4658" w:themeColor="accent4" w:themeShade="80"/>
          <w:kern w:val="0"/>
          <w:sz w:val="24"/>
          <w:szCs w:val="24"/>
          <w:lang w:eastAsia="en-US"/>
        </w:rPr>
        <w:t xml:space="preserve"> and capabilities</w:t>
      </w:r>
      <w:r w:rsidRPr="003E2A2B">
        <w:rPr>
          <w:rFonts w:ascii="Arial" w:eastAsia="Times New Roman" w:hAnsi="Arial" w:cs="Arial"/>
          <w:color w:val="3B4658" w:themeColor="accent4" w:themeShade="80"/>
          <w:kern w:val="0"/>
          <w:sz w:val="24"/>
          <w:szCs w:val="24"/>
          <w:lang w:eastAsia="en-US"/>
        </w:rPr>
        <w:t xml:space="preserve">. A student may or may not need all five required </w:t>
      </w:r>
      <w:proofErr w:type="gramStart"/>
      <w:r w:rsidRPr="003E2A2B">
        <w:rPr>
          <w:rFonts w:ascii="Arial" w:eastAsia="Times New Roman" w:hAnsi="Arial" w:cs="Arial"/>
          <w:color w:val="3B4658" w:themeColor="accent4" w:themeShade="80"/>
          <w:kern w:val="0"/>
          <w:sz w:val="24"/>
          <w:szCs w:val="24"/>
          <w:lang w:eastAsia="en-US"/>
        </w:rPr>
        <w:t>activities, and</w:t>
      </w:r>
      <w:proofErr w:type="gramEnd"/>
      <w:r w:rsidRPr="003E2A2B">
        <w:rPr>
          <w:rFonts w:ascii="Arial" w:eastAsia="Times New Roman" w:hAnsi="Arial" w:cs="Arial"/>
          <w:color w:val="3B4658" w:themeColor="accent4" w:themeShade="80"/>
          <w:kern w:val="0"/>
          <w:sz w:val="24"/>
          <w:szCs w:val="24"/>
          <w:lang w:eastAsia="en-US"/>
        </w:rPr>
        <w:t xml:space="preserve"> may need to particip</w:t>
      </w:r>
      <w:r w:rsidR="001A6BC8">
        <w:rPr>
          <w:rFonts w:ascii="Arial" w:eastAsia="Times New Roman" w:hAnsi="Arial" w:cs="Arial"/>
          <w:color w:val="3B4658" w:themeColor="accent4" w:themeShade="80"/>
          <w:kern w:val="0"/>
          <w:sz w:val="24"/>
          <w:szCs w:val="24"/>
          <w:lang w:eastAsia="en-US"/>
        </w:rPr>
        <w:t xml:space="preserve">ate in multiple activities. </w:t>
      </w:r>
    </w:p>
    <w:p w14:paraId="131B4DE5" w14:textId="668E0C51" w:rsidR="003E2A2B" w:rsidRPr="001A6BC8" w:rsidRDefault="008E685F" w:rsidP="001A6BC8">
      <w:pPr>
        <w:pStyle w:val="ListParagraph"/>
        <w:numPr>
          <w:ilvl w:val="0"/>
          <w:numId w:val="2"/>
        </w:numPr>
        <w:spacing w:before="240" w:after="240" w:line="240" w:lineRule="auto"/>
        <w:textAlignment w:val="baseline"/>
        <w:rPr>
          <w:rFonts w:ascii="Arial" w:eastAsia="Times New Roman" w:hAnsi="Arial" w:cs="Arial"/>
          <w:b/>
          <w:bCs/>
          <w:color w:val="3B4658" w:themeColor="accent4" w:themeShade="80"/>
          <w:kern w:val="0"/>
          <w:sz w:val="24"/>
          <w:szCs w:val="24"/>
          <w:lang w:eastAsia="en-US"/>
        </w:rPr>
      </w:pPr>
      <w:r>
        <w:rPr>
          <w:rFonts w:ascii="Arial" w:eastAsia="Times New Roman" w:hAnsi="Arial" w:cs="Arial"/>
          <w:b/>
          <w:bCs/>
          <w:color w:val="3B4658" w:themeColor="accent4" w:themeShade="80"/>
          <w:kern w:val="0"/>
          <w:sz w:val="24"/>
          <w:szCs w:val="24"/>
          <w:lang w:eastAsia="en-US"/>
        </w:rPr>
        <w:t>Identify work-based learning e</w:t>
      </w:r>
      <w:r w:rsidR="003E2A2B" w:rsidRPr="001A6BC8">
        <w:rPr>
          <w:rFonts w:ascii="Arial" w:eastAsia="Times New Roman" w:hAnsi="Arial" w:cs="Arial"/>
          <w:b/>
          <w:bCs/>
          <w:color w:val="3B4658" w:themeColor="accent4" w:themeShade="80"/>
          <w:kern w:val="0"/>
          <w:sz w:val="24"/>
          <w:szCs w:val="24"/>
          <w:lang w:eastAsia="en-US"/>
        </w:rPr>
        <w:t>xperiences (WBLEs)</w:t>
      </w:r>
      <w:r>
        <w:rPr>
          <w:rFonts w:ascii="Arial" w:eastAsia="Times New Roman" w:hAnsi="Arial" w:cs="Arial"/>
          <w:b/>
          <w:bCs/>
          <w:color w:val="3B4658" w:themeColor="accent4" w:themeShade="80"/>
          <w:kern w:val="0"/>
          <w:sz w:val="24"/>
          <w:szCs w:val="24"/>
          <w:lang w:eastAsia="en-US"/>
        </w:rPr>
        <w:t xml:space="preserve"> that align with a student’s needs and interests</w:t>
      </w:r>
      <w:r w:rsidR="00967508">
        <w:rPr>
          <w:rFonts w:ascii="Arial" w:eastAsia="Times New Roman" w:hAnsi="Arial" w:cs="Arial"/>
          <w:b/>
          <w:bCs/>
          <w:color w:val="3B4658" w:themeColor="accent4" w:themeShade="80"/>
          <w:kern w:val="0"/>
          <w:sz w:val="24"/>
          <w:szCs w:val="24"/>
          <w:lang w:eastAsia="en-US"/>
        </w:rPr>
        <w:t xml:space="preserve">, </w:t>
      </w:r>
      <w:r w:rsidR="003E2A2B" w:rsidRPr="001A6BC8">
        <w:rPr>
          <w:rFonts w:ascii="Arial" w:eastAsia="Times New Roman" w:hAnsi="Arial" w:cs="Arial"/>
          <w:b/>
          <w:bCs/>
          <w:color w:val="3B4658" w:themeColor="accent4" w:themeShade="80"/>
          <w:kern w:val="0"/>
          <w:sz w:val="24"/>
          <w:szCs w:val="24"/>
          <w:lang w:eastAsia="en-US"/>
        </w:rPr>
        <w:t xml:space="preserve">and where the student </w:t>
      </w:r>
      <w:r w:rsidR="00967508">
        <w:rPr>
          <w:rFonts w:ascii="Arial" w:eastAsia="Times New Roman" w:hAnsi="Arial" w:cs="Arial"/>
          <w:b/>
          <w:bCs/>
          <w:color w:val="3B4658" w:themeColor="accent4" w:themeShade="80"/>
          <w:kern w:val="0"/>
          <w:sz w:val="24"/>
          <w:szCs w:val="24"/>
          <w:lang w:eastAsia="en-US"/>
        </w:rPr>
        <w:t>is</w:t>
      </w:r>
      <w:r w:rsidR="003E2A2B" w:rsidRPr="001A6BC8">
        <w:rPr>
          <w:rFonts w:ascii="Arial" w:eastAsia="Times New Roman" w:hAnsi="Arial" w:cs="Arial"/>
          <w:b/>
          <w:bCs/>
          <w:color w:val="3B4658" w:themeColor="accent4" w:themeShade="80"/>
          <w:kern w:val="0"/>
          <w:sz w:val="24"/>
          <w:szCs w:val="24"/>
          <w:lang w:eastAsia="en-US"/>
        </w:rPr>
        <w:t xml:space="preserve"> </w:t>
      </w:r>
      <w:r w:rsidR="00967508">
        <w:rPr>
          <w:rFonts w:ascii="Arial" w:eastAsia="Times New Roman" w:hAnsi="Arial" w:cs="Arial"/>
          <w:b/>
          <w:bCs/>
          <w:color w:val="3B4658" w:themeColor="accent4" w:themeShade="80"/>
          <w:kern w:val="0"/>
          <w:sz w:val="24"/>
          <w:szCs w:val="24"/>
          <w:lang w:eastAsia="en-US"/>
        </w:rPr>
        <w:t>along</w:t>
      </w:r>
      <w:r w:rsidR="003E2A2B" w:rsidRPr="001A6BC8">
        <w:rPr>
          <w:rFonts w:ascii="Arial" w:eastAsia="Times New Roman" w:hAnsi="Arial" w:cs="Arial"/>
          <w:b/>
          <w:bCs/>
          <w:color w:val="3B4658" w:themeColor="accent4" w:themeShade="80"/>
          <w:kern w:val="0"/>
          <w:sz w:val="24"/>
          <w:szCs w:val="24"/>
          <w:lang w:eastAsia="en-US"/>
        </w:rPr>
        <w:t xml:space="preserve"> the continuum of VR services. </w:t>
      </w:r>
    </w:p>
    <w:p w14:paraId="19880B62" w14:textId="2DE4E9B1" w:rsidR="00BB6F89" w:rsidRDefault="00967508" w:rsidP="003E2A2B">
      <w:pPr>
        <w:numPr>
          <w:ilvl w:val="1"/>
          <w:numId w:val="33"/>
        </w:numPr>
        <w:spacing w:before="120" w:after="120" w:line="240" w:lineRule="auto"/>
        <w:textAlignment w:val="baseline"/>
        <w:rPr>
          <w:rFonts w:ascii="Arial" w:eastAsia="Times New Roman" w:hAnsi="Arial" w:cs="Arial"/>
          <w:color w:val="3B4658" w:themeColor="accent4" w:themeShade="80"/>
          <w:kern w:val="0"/>
          <w:sz w:val="24"/>
          <w:szCs w:val="24"/>
          <w:lang w:eastAsia="en-US"/>
        </w:rPr>
      </w:pPr>
      <w:r>
        <w:rPr>
          <w:rFonts w:ascii="Arial" w:eastAsia="Times New Roman" w:hAnsi="Arial" w:cs="Arial"/>
          <w:color w:val="3B4658" w:themeColor="accent4" w:themeShade="80"/>
          <w:kern w:val="0"/>
          <w:sz w:val="24"/>
          <w:szCs w:val="24"/>
          <w:lang w:eastAsia="en-US"/>
        </w:rPr>
        <w:t>Consider the p</w:t>
      </w:r>
      <w:r w:rsidR="003E2A2B" w:rsidRPr="003E2A2B">
        <w:rPr>
          <w:rFonts w:ascii="Arial" w:eastAsia="Times New Roman" w:hAnsi="Arial" w:cs="Arial"/>
          <w:color w:val="3B4658" w:themeColor="accent4" w:themeShade="80"/>
          <w:kern w:val="0"/>
          <w:sz w:val="24"/>
          <w:szCs w:val="24"/>
          <w:lang w:eastAsia="en-US"/>
        </w:rPr>
        <w:t>urpose of the WBLE. Is this an early start at career exploration, or is this a job opportunity? </w:t>
      </w:r>
    </w:p>
    <w:p w14:paraId="7F4428D3" w14:textId="0101D63F" w:rsidR="003E2A2B" w:rsidRDefault="00967508" w:rsidP="003E2A2B">
      <w:pPr>
        <w:numPr>
          <w:ilvl w:val="1"/>
          <w:numId w:val="33"/>
        </w:numPr>
        <w:spacing w:before="120" w:after="120" w:line="240" w:lineRule="auto"/>
        <w:textAlignment w:val="baseline"/>
        <w:rPr>
          <w:rFonts w:ascii="Arial" w:eastAsia="Times New Roman" w:hAnsi="Arial" w:cs="Arial"/>
          <w:color w:val="3B4658" w:themeColor="accent4" w:themeShade="80"/>
          <w:kern w:val="0"/>
          <w:sz w:val="24"/>
          <w:szCs w:val="24"/>
          <w:lang w:eastAsia="en-US"/>
        </w:rPr>
      </w:pPr>
      <w:r>
        <w:rPr>
          <w:rFonts w:ascii="Arial" w:eastAsia="Times New Roman" w:hAnsi="Arial" w:cs="Arial"/>
          <w:color w:val="3B4658" w:themeColor="accent4" w:themeShade="80"/>
          <w:kern w:val="0"/>
          <w:sz w:val="24"/>
          <w:szCs w:val="24"/>
          <w:lang w:eastAsia="en-US"/>
        </w:rPr>
        <w:t xml:space="preserve">While VR may not establish arbitrary limits on the scope of VR services, which include pre-employment transition services; consider the length of time of a WBLE to differentiate it from </w:t>
      </w:r>
      <w:r w:rsidR="003E2A2B" w:rsidRPr="003E2A2B">
        <w:rPr>
          <w:rFonts w:ascii="Arial" w:eastAsia="Times New Roman" w:hAnsi="Arial" w:cs="Arial"/>
          <w:color w:val="3B4658" w:themeColor="accent4" w:themeShade="80"/>
          <w:kern w:val="0"/>
          <w:sz w:val="24"/>
          <w:szCs w:val="24"/>
          <w:lang w:eastAsia="en-US"/>
        </w:rPr>
        <w:t>permanent part-time</w:t>
      </w:r>
      <w:r>
        <w:rPr>
          <w:rFonts w:ascii="Arial" w:eastAsia="Times New Roman" w:hAnsi="Arial" w:cs="Arial"/>
          <w:color w:val="3B4658" w:themeColor="accent4" w:themeShade="80"/>
          <w:kern w:val="0"/>
          <w:sz w:val="24"/>
          <w:szCs w:val="24"/>
          <w:lang w:eastAsia="en-US"/>
        </w:rPr>
        <w:t xml:space="preserve"> employment</w:t>
      </w:r>
      <w:r w:rsidR="003E2A2B" w:rsidRPr="003E2A2B">
        <w:rPr>
          <w:rFonts w:ascii="Arial" w:eastAsia="Times New Roman" w:hAnsi="Arial" w:cs="Arial"/>
          <w:color w:val="3B4658" w:themeColor="accent4" w:themeShade="80"/>
          <w:kern w:val="0"/>
          <w:sz w:val="24"/>
          <w:szCs w:val="24"/>
          <w:lang w:eastAsia="en-US"/>
        </w:rPr>
        <w:t xml:space="preserve"> (as with any other VR service, allow exceptions based on individual needs), and be sure to document in your policies and procedures.</w:t>
      </w:r>
    </w:p>
    <w:p w14:paraId="31E21A49" w14:textId="77777777" w:rsidR="003E2A2B" w:rsidRPr="00BB6F89" w:rsidRDefault="00BB6F89" w:rsidP="00BB6F89">
      <w:pPr>
        <w:pStyle w:val="ListParagraph"/>
        <w:numPr>
          <w:ilvl w:val="0"/>
          <w:numId w:val="2"/>
        </w:numPr>
        <w:spacing w:before="240" w:after="240" w:line="240" w:lineRule="auto"/>
        <w:textAlignment w:val="baseline"/>
        <w:rPr>
          <w:rFonts w:ascii="Arial" w:eastAsia="Times New Roman" w:hAnsi="Arial" w:cs="Arial"/>
          <w:b/>
          <w:bCs/>
          <w:color w:val="3B4658" w:themeColor="accent4" w:themeShade="80"/>
          <w:kern w:val="0"/>
          <w:sz w:val="24"/>
          <w:szCs w:val="24"/>
          <w:lang w:eastAsia="en-US"/>
        </w:rPr>
      </w:pPr>
      <w:r>
        <w:rPr>
          <w:rFonts w:ascii="Arial" w:eastAsia="Times New Roman" w:hAnsi="Arial" w:cs="Arial"/>
          <w:b/>
          <w:bCs/>
          <w:color w:val="3B4658" w:themeColor="accent4" w:themeShade="80"/>
          <w:kern w:val="0"/>
          <w:sz w:val="24"/>
          <w:szCs w:val="24"/>
          <w:lang w:eastAsia="en-US"/>
        </w:rPr>
        <w:t xml:space="preserve">For those states </w:t>
      </w:r>
      <w:r w:rsidR="003E2A2B" w:rsidRPr="00BB6F89">
        <w:rPr>
          <w:rFonts w:ascii="Arial" w:eastAsia="Times New Roman" w:hAnsi="Arial" w:cs="Arial"/>
          <w:b/>
          <w:bCs/>
          <w:color w:val="3B4658" w:themeColor="accent4" w:themeShade="80"/>
          <w:kern w:val="0"/>
          <w:sz w:val="24"/>
          <w:szCs w:val="24"/>
          <w:lang w:eastAsia="en-US"/>
        </w:rPr>
        <w:t>that can get to the provision of authorized services as documented in your forecast, you may consider additional strategies for the expenditure of reserve funds in that category. </w:t>
      </w:r>
    </w:p>
    <w:p w14:paraId="4A173E4E" w14:textId="77777777" w:rsidR="003E2A2B" w:rsidRPr="003E2A2B" w:rsidRDefault="003E2A2B" w:rsidP="00BB6F89">
      <w:pPr>
        <w:numPr>
          <w:ilvl w:val="1"/>
          <w:numId w:val="2"/>
        </w:numPr>
        <w:spacing w:before="120" w:after="120" w:line="240" w:lineRule="auto"/>
        <w:textAlignment w:val="baseline"/>
        <w:rPr>
          <w:rFonts w:ascii="Arial" w:eastAsia="Times New Roman" w:hAnsi="Arial" w:cs="Arial"/>
          <w:color w:val="3B4658" w:themeColor="accent4" w:themeShade="80"/>
          <w:kern w:val="0"/>
          <w:sz w:val="24"/>
          <w:szCs w:val="24"/>
          <w:lang w:eastAsia="en-US"/>
        </w:rPr>
      </w:pPr>
      <w:r w:rsidRPr="003E2A2B">
        <w:rPr>
          <w:rFonts w:ascii="Arial" w:eastAsia="Times New Roman" w:hAnsi="Arial" w:cs="Arial"/>
          <w:color w:val="3B4658" w:themeColor="accent4" w:themeShade="80"/>
          <w:kern w:val="0"/>
          <w:sz w:val="24"/>
          <w:szCs w:val="24"/>
          <w:lang w:eastAsia="en-US"/>
        </w:rPr>
        <w:t xml:space="preserve">Authorized pre-employment transition services may improve the transition of students with disabilities from school to postsecondary education or an employment </w:t>
      </w:r>
      <w:proofErr w:type="gramStart"/>
      <w:r w:rsidRPr="003E2A2B">
        <w:rPr>
          <w:rFonts w:ascii="Arial" w:eastAsia="Times New Roman" w:hAnsi="Arial" w:cs="Arial"/>
          <w:color w:val="3B4658" w:themeColor="accent4" w:themeShade="80"/>
          <w:kern w:val="0"/>
          <w:sz w:val="24"/>
          <w:szCs w:val="24"/>
          <w:lang w:eastAsia="en-US"/>
        </w:rPr>
        <w:t>outcome</w:t>
      </w:r>
      <w:r w:rsidR="00A44564">
        <w:rPr>
          <w:rFonts w:ascii="Arial" w:eastAsia="Times New Roman" w:hAnsi="Arial" w:cs="Arial"/>
          <w:color w:val="3B4658" w:themeColor="accent4" w:themeShade="80"/>
          <w:kern w:val="0"/>
          <w:sz w:val="24"/>
          <w:szCs w:val="24"/>
          <w:lang w:eastAsia="en-US"/>
        </w:rPr>
        <w:t>, and</w:t>
      </w:r>
      <w:proofErr w:type="gramEnd"/>
      <w:r w:rsidR="00A44564">
        <w:rPr>
          <w:rFonts w:ascii="Arial" w:eastAsia="Times New Roman" w:hAnsi="Arial" w:cs="Arial"/>
          <w:color w:val="3B4658" w:themeColor="accent4" w:themeShade="80"/>
          <w:kern w:val="0"/>
          <w:sz w:val="24"/>
          <w:szCs w:val="24"/>
          <w:lang w:eastAsia="en-US"/>
        </w:rPr>
        <w:t xml:space="preserve"> must support the implementation of pre-employment transition services</w:t>
      </w:r>
      <w:r w:rsidRPr="003E2A2B">
        <w:rPr>
          <w:rFonts w:ascii="Arial" w:eastAsia="Times New Roman" w:hAnsi="Arial" w:cs="Arial"/>
          <w:color w:val="3B4658" w:themeColor="accent4" w:themeShade="80"/>
          <w:kern w:val="0"/>
          <w:sz w:val="24"/>
          <w:szCs w:val="24"/>
          <w:lang w:eastAsia="en-US"/>
        </w:rPr>
        <w:t xml:space="preserve">. These strategies tend to be broader and can include some exciting and collaborative work. Q #6 in the </w:t>
      </w:r>
      <w:hyperlink r:id="rId17" w:history="1">
        <w:r w:rsidRPr="003E2A2B">
          <w:rPr>
            <w:rFonts w:ascii="Arial" w:eastAsia="Times New Roman" w:hAnsi="Arial" w:cs="Arial"/>
            <w:color w:val="002060"/>
            <w:kern w:val="0"/>
            <w:sz w:val="24"/>
            <w:szCs w:val="24"/>
            <w:u w:val="single"/>
            <w:lang w:eastAsia="en-US"/>
          </w:rPr>
          <w:t>RSA Pre-employment Transition Services FAQs</w:t>
        </w:r>
      </w:hyperlink>
      <w:r w:rsidRPr="003E2A2B">
        <w:rPr>
          <w:rFonts w:ascii="Arial" w:eastAsia="Times New Roman" w:hAnsi="Arial" w:cs="Arial"/>
          <w:color w:val="3B4658" w:themeColor="accent4" w:themeShade="80"/>
          <w:kern w:val="0"/>
          <w:sz w:val="24"/>
          <w:szCs w:val="24"/>
          <w:lang w:eastAsia="en-US"/>
        </w:rPr>
        <w:t xml:space="preserve"> outlines the nine authorized activities. Some ideas to consider are as follows. </w:t>
      </w:r>
    </w:p>
    <w:p w14:paraId="78BE23BA" w14:textId="77777777" w:rsidR="003E2A2B" w:rsidRPr="003E2A2B" w:rsidRDefault="003E2A2B" w:rsidP="00475F00">
      <w:pPr>
        <w:numPr>
          <w:ilvl w:val="2"/>
          <w:numId w:val="44"/>
        </w:numPr>
        <w:spacing w:before="120" w:after="120" w:line="240" w:lineRule="auto"/>
        <w:textAlignment w:val="baseline"/>
        <w:rPr>
          <w:rFonts w:ascii="Arial" w:eastAsia="Times New Roman" w:hAnsi="Arial" w:cs="Arial"/>
          <w:color w:val="417A84" w:themeColor="accent5" w:themeShade="BF"/>
          <w:kern w:val="0"/>
          <w:sz w:val="24"/>
          <w:szCs w:val="24"/>
          <w:lang w:eastAsia="en-US"/>
        </w:rPr>
      </w:pPr>
      <w:r w:rsidRPr="0090586D">
        <w:rPr>
          <w:rFonts w:ascii="Arial" w:eastAsia="Times New Roman" w:hAnsi="Arial" w:cs="Arial"/>
          <w:color w:val="2B5258" w:themeColor="accent5" w:themeShade="80"/>
          <w:kern w:val="0"/>
          <w:sz w:val="24"/>
          <w:szCs w:val="24"/>
          <w:lang w:eastAsia="en-US"/>
        </w:rPr>
        <w:t xml:space="preserve">Developing a loaner library of technology equipment </w:t>
      </w:r>
      <w:r w:rsidRPr="003E2A2B">
        <w:rPr>
          <w:rFonts w:ascii="Arial" w:eastAsia="Times New Roman" w:hAnsi="Arial" w:cs="Arial"/>
          <w:color w:val="3B4658" w:themeColor="accent4" w:themeShade="80"/>
          <w:kern w:val="0"/>
          <w:sz w:val="24"/>
          <w:szCs w:val="24"/>
          <w:lang w:eastAsia="en-US"/>
        </w:rPr>
        <w:t>that can be used by students as they participate in the five required activities. </w:t>
      </w:r>
    </w:p>
    <w:p w14:paraId="316D9E44" w14:textId="77777777" w:rsidR="003E2A2B" w:rsidRPr="003E2A2B" w:rsidRDefault="003E2A2B" w:rsidP="00475F00">
      <w:pPr>
        <w:numPr>
          <w:ilvl w:val="2"/>
          <w:numId w:val="44"/>
        </w:numPr>
        <w:spacing w:before="120" w:after="120" w:line="240" w:lineRule="auto"/>
        <w:textAlignment w:val="baseline"/>
        <w:rPr>
          <w:rFonts w:ascii="Arial" w:eastAsia="Times New Roman" w:hAnsi="Arial" w:cs="Arial"/>
          <w:color w:val="417A84" w:themeColor="accent5" w:themeShade="BF"/>
          <w:kern w:val="0"/>
          <w:sz w:val="24"/>
          <w:szCs w:val="24"/>
          <w:lang w:eastAsia="en-US"/>
        </w:rPr>
      </w:pPr>
      <w:r w:rsidRPr="0090586D">
        <w:rPr>
          <w:rFonts w:ascii="Arial" w:eastAsia="Times New Roman" w:hAnsi="Arial" w:cs="Arial"/>
          <w:color w:val="2B5258" w:themeColor="accent5" w:themeShade="80"/>
          <w:kern w:val="0"/>
          <w:sz w:val="24"/>
          <w:szCs w:val="24"/>
          <w:lang w:eastAsia="en-US"/>
        </w:rPr>
        <w:t>Contracting with an organization</w:t>
      </w:r>
      <w:r w:rsidRPr="003E2A2B">
        <w:rPr>
          <w:rFonts w:ascii="Arial" w:eastAsia="Times New Roman" w:hAnsi="Arial" w:cs="Arial"/>
          <w:color w:val="417A84" w:themeColor="accent5" w:themeShade="BF"/>
          <w:kern w:val="0"/>
          <w:sz w:val="24"/>
          <w:szCs w:val="24"/>
          <w:lang w:eastAsia="en-US"/>
        </w:rPr>
        <w:t xml:space="preserve"> </w:t>
      </w:r>
      <w:r w:rsidRPr="003E2A2B">
        <w:rPr>
          <w:rFonts w:ascii="Arial" w:eastAsia="Times New Roman" w:hAnsi="Arial" w:cs="Arial"/>
          <w:color w:val="3B4658" w:themeColor="accent4" w:themeShade="80"/>
          <w:kern w:val="0"/>
          <w:sz w:val="24"/>
          <w:szCs w:val="24"/>
          <w:lang w:eastAsia="en-US"/>
        </w:rPr>
        <w:t xml:space="preserve">such as the Helen Keller National Center </w:t>
      </w:r>
      <w:r w:rsidRPr="0090586D">
        <w:rPr>
          <w:rFonts w:ascii="Arial" w:eastAsia="Times New Roman" w:hAnsi="Arial" w:cs="Arial"/>
          <w:color w:val="2B5258" w:themeColor="accent5" w:themeShade="80"/>
          <w:kern w:val="0"/>
          <w:sz w:val="24"/>
          <w:szCs w:val="24"/>
          <w:lang w:eastAsia="en-US"/>
        </w:rPr>
        <w:t>to provide pre-employme</w:t>
      </w:r>
      <w:r w:rsidR="00A44564" w:rsidRPr="0090586D">
        <w:rPr>
          <w:rFonts w:ascii="Arial" w:eastAsia="Times New Roman" w:hAnsi="Arial" w:cs="Arial"/>
          <w:color w:val="2B5258" w:themeColor="accent5" w:themeShade="80"/>
          <w:kern w:val="0"/>
          <w:sz w:val="24"/>
          <w:szCs w:val="24"/>
          <w:lang w:eastAsia="en-US"/>
        </w:rPr>
        <w:t xml:space="preserve">nt transition services </w:t>
      </w:r>
      <w:r w:rsidR="00A44564" w:rsidRPr="00475F00">
        <w:rPr>
          <w:rFonts w:ascii="Arial" w:eastAsia="Times New Roman" w:hAnsi="Arial" w:cs="Arial"/>
          <w:color w:val="3B4658" w:themeColor="accent4" w:themeShade="80"/>
          <w:kern w:val="0"/>
          <w:sz w:val="24"/>
          <w:szCs w:val="24"/>
          <w:lang w:eastAsia="en-US"/>
        </w:rPr>
        <w:t xml:space="preserve">to </w:t>
      </w:r>
      <w:proofErr w:type="spellStart"/>
      <w:r w:rsidRPr="003E2A2B">
        <w:rPr>
          <w:rFonts w:ascii="Arial" w:eastAsia="Times New Roman" w:hAnsi="Arial" w:cs="Arial"/>
          <w:color w:val="3B4658" w:themeColor="accent4" w:themeShade="80"/>
          <w:kern w:val="0"/>
          <w:sz w:val="24"/>
          <w:szCs w:val="24"/>
          <w:lang w:eastAsia="en-US"/>
        </w:rPr>
        <w:t>DeafBlind</w:t>
      </w:r>
      <w:proofErr w:type="spellEnd"/>
      <w:r w:rsidRPr="003E2A2B">
        <w:rPr>
          <w:rFonts w:ascii="Arial" w:eastAsia="Times New Roman" w:hAnsi="Arial" w:cs="Arial"/>
          <w:color w:val="3B4658" w:themeColor="accent4" w:themeShade="80"/>
          <w:kern w:val="0"/>
          <w:sz w:val="24"/>
          <w:szCs w:val="24"/>
          <w:lang w:eastAsia="en-US"/>
        </w:rPr>
        <w:t xml:space="preserve"> students with disabilities.</w:t>
      </w:r>
    </w:p>
    <w:p w14:paraId="555D6EBE" w14:textId="77777777" w:rsidR="003E2A2B" w:rsidRPr="003E2A2B" w:rsidRDefault="003E2A2B" w:rsidP="00A44564">
      <w:pPr>
        <w:numPr>
          <w:ilvl w:val="2"/>
          <w:numId w:val="43"/>
        </w:numPr>
        <w:spacing w:before="120" w:after="120" w:line="240" w:lineRule="auto"/>
        <w:textAlignment w:val="baseline"/>
        <w:rPr>
          <w:rFonts w:ascii="Arial" w:eastAsia="Times New Roman" w:hAnsi="Arial" w:cs="Arial"/>
          <w:color w:val="417A84" w:themeColor="accent5" w:themeShade="BF"/>
          <w:kern w:val="0"/>
          <w:sz w:val="24"/>
          <w:szCs w:val="24"/>
          <w:lang w:eastAsia="en-US"/>
        </w:rPr>
      </w:pPr>
      <w:r w:rsidRPr="0090586D">
        <w:rPr>
          <w:rFonts w:ascii="Arial" w:eastAsia="Times New Roman" w:hAnsi="Arial" w:cs="Arial"/>
          <w:color w:val="2B5258" w:themeColor="accent5" w:themeShade="80"/>
          <w:kern w:val="0"/>
          <w:sz w:val="24"/>
          <w:szCs w:val="24"/>
          <w:lang w:eastAsia="en-US"/>
        </w:rPr>
        <w:lastRenderedPageBreak/>
        <w:t xml:space="preserve">Contracting with your Parent Training and Information Center to provide training to your staff </w:t>
      </w:r>
      <w:r w:rsidRPr="003E2A2B">
        <w:rPr>
          <w:rFonts w:ascii="Arial" w:eastAsia="Times New Roman" w:hAnsi="Arial" w:cs="Arial"/>
          <w:color w:val="3B4658" w:themeColor="accent4" w:themeShade="80"/>
          <w:kern w:val="0"/>
          <w:sz w:val="24"/>
          <w:szCs w:val="24"/>
          <w:lang w:eastAsia="en-US"/>
        </w:rPr>
        <w:t xml:space="preserve">on IDEA, working with schools and families, and effectively working with an IEP team. They can also help facilitate communications between VR and students with families where English is not their primary language. You could also have them conduct independent surveys of families and students about their satisfaction with your services. Here is a link to find a center near you- </w:t>
      </w:r>
      <w:hyperlink r:id="rId18" w:history="1">
        <w:r w:rsidRPr="003E2A2B">
          <w:rPr>
            <w:rFonts w:ascii="Arial" w:eastAsia="Times New Roman" w:hAnsi="Arial" w:cs="Arial"/>
            <w:color w:val="002060"/>
            <w:kern w:val="0"/>
            <w:sz w:val="24"/>
            <w:szCs w:val="24"/>
            <w:u w:val="single"/>
            <w:lang w:eastAsia="en-US"/>
          </w:rPr>
          <w:t>Parent Center Hub-How to Find Your Center</w:t>
        </w:r>
      </w:hyperlink>
    </w:p>
    <w:p w14:paraId="7C6E5945" w14:textId="77777777" w:rsidR="003E2A2B" w:rsidRPr="003E2A2B" w:rsidRDefault="003E2A2B" w:rsidP="00A44564">
      <w:pPr>
        <w:numPr>
          <w:ilvl w:val="2"/>
          <w:numId w:val="42"/>
        </w:numPr>
        <w:spacing w:before="120" w:after="120" w:line="240" w:lineRule="auto"/>
        <w:textAlignment w:val="baseline"/>
        <w:rPr>
          <w:rFonts w:ascii="Arial" w:eastAsia="Times New Roman" w:hAnsi="Arial" w:cs="Arial"/>
          <w:color w:val="417A84" w:themeColor="accent5" w:themeShade="BF"/>
          <w:kern w:val="0"/>
          <w:sz w:val="24"/>
          <w:szCs w:val="24"/>
          <w:lang w:eastAsia="en-US"/>
        </w:rPr>
      </w:pPr>
      <w:r w:rsidRPr="0090586D">
        <w:rPr>
          <w:rFonts w:ascii="Arial" w:eastAsia="Times New Roman" w:hAnsi="Arial" w:cs="Arial"/>
          <w:color w:val="2B5258" w:themeColor="accent5" w:themeShade="80"/>
          <w:kern w:val="0"/>
          <w:sz w:val="24"/>
          <w:szCs w:val="24"/>
          <w:lang w:eastAsia="en-US"/>
        </w:rPr>
        <w:t xml:space="preserve">Utilize various social media platforms to provide podcasts </w:t>
      </w:r>
      <w:r w:rsidRPr="003E2A2B">
        <w:rPr>
          <w:rFonts w:ascii="Arial" w:eastAsia="Times New Roman" w:hAnsi="Arial" w:cs="Arial"/>
          <w:color w:val="3B4658" w:themeColor="accent4" w:themeShade="80"/>
          <w:kern w:val="0"/>
          <w:sz w:val="24"/>
          <w:szCs w:val="24"/>
          <w:lang w:eastAsia="en-US"/>
        </w:rPr>
        <w:t>with stories about customers who have achieved success in many occupations. You will want to make sure you separate administrative costs from service costs. Developing the podcast can be counted, but expenses for the hosting platform (if there is a fee) would be considered administrative costs and cannot be charged to the funds reserved for the provision of pre-employment transition services.</w:t>
      </w:r>
    </w:p>
    <w:p w14:paraId="30639BA3" w14:textId="77777777" w:rsidR="003E2A2B" w:rsidRPr="0090586D" w:rsidRDefault="003E2A2B" w:rsidP="00A44564">
      <w:pPr>
        <w:numPr>
          <w:ilvl w:val="2"/>
          <w:numId w:val="41"/>
        </w:numPr>
        <w:spacing w:before="120" w:after="120" w:line="240" w:lineRule="auto"/>
        <w:textAlignment w:val="baseline"/>
        <w:rPr>
          <w:rFonts w:ascii="Arial" w:eastAsia="Times New Roman" w:hAnsi="Arial" w:cs="Arial"/>
          <w:color w:val="2B5258" w:themeColor="accent5" w:themeShade="80"/>
          <w:kern w:val="0"/>
          <w:sz w:val="24"/>
          <w:szCs w:val="24"/>
          <w:lang w:eastAsia="en-US"/>
        </w:rPr>
      </w:pPr>
      <w:r w:rsidRPr="0090586D">
        <w:rPr>
          <w:rFonts w:ascii="Arial" w:eastAsia="Times New Roman" w:hAnsi="Arial" w:cs="Arial"/>
          <w:color w:val="2B5258" w:themeColor="accent5" w:themeShade="80"/>
          <w:kern w:val="0"/>
          <w:sz w:val="24"/>
          <w:szCs w:val="24"/>
          <w:lang w:eastAsia="en-US"/>
        </w:rPr>
        <w:t>Collaborate with other state agencies for the direct virtual provision of services.</w:t>
      </w:r>
    </w:p>
    <w:p w14:paraId="22F54251" w14:textId="77777777" w:rsidR="003E2A2B" w:rsidRPr="00475F00" w:rsidRDefault="00475F00" w:rsidP="00475F00">
      <w:pPr>
        <w:pStyle w:val="ListParagraph"/>
        <w:numPr>
          <w:ilvl w:val="0"/>
          <w:numId w:val="2"/>
        </w:numPr>
        <w:spacing w:before="240" w:after="240" w:line="240" w:lineRule="auto"/>
        <w:textAlignment w:val="baseline"/>
        <w:rPr>
          <w:rFonts w:ascii="Arial" w:eastAsia="Times New Roman" w:hAnsi="Arial" w:cs="Arial"/>
          <w:b/>
          <w:bCs/>
          <w:color w:val="3B4658" w:themeColor="accent4" w:themeShade="80"/>
          <w:kern w:val="0"/>
          <w:sz w:val="24"/>
          <w:szCs w:val="24"/>
          <w:lang w:eastAsia="en-US"/>
        </w:rPr>
      </w:pPr>
      <w:r>
        <w:rPr>
          <w:rFonts w:ascii="Arial" w:eastAsia="Times New Roman" w:hAnsi="Arial" w:cs="Arial"/>
          <w:b/>
          <w:bCs/>
          <w:color w:val="3B4658" w:themeColor="accent4" w:themeShade="80"/>
          <w:kern w:val="0"/>
          <w:sz w:val="24"/>
          <w:szCs w:val="24"/>
          <w:lang w:eastAsia="en-US"/>
        </w:rPr>
        <w:t xml:space="preserve"> </w:t>
      </w:r>
      <w:r w:rsidR="003E2A2B" w:rsidRPr="00475F00">
        <w:rPr>
          <w:rFonts w:ascii="Arial" w:eastAsia="Times New Roman" w:hAnsi="Arial" w:cs="Arial"/>
          <w:b/>
          <w:bCs/>
          <w:color w:val="3B4658" w:themeColor="accent4" w:themeShade="80"/>
          <w:kern w:val="0"/>
          <w:sz w:val="24"/>
          <w:szCs w:val="24"/>
          <w:lang w:eastAsia="en-US"/>
        </w:rPr>
        <w:t>Last but not least, be sure you document everything.</w:t>
      </w:r>
    </w:p>
    <w:p w14:paraId="35FDEF2C" w14:textId="77777777" w:rsidR="003E2A2B" w:rsidRPr="003E2A2B" w:rsidRDefault="003E2A2B" w:rsidP="00475F00">
      <w:pPr>
        <w:numPr>
          <w:ilvl w:val="1"/>
          <w:numId w:val="2"/>
        </w:numPr>
        <w:spacing w:before="0" w:after="120" w:line="240" w:lineRule="auto"/>
        <w:textAlignment w:val="baseline"/>
        <w:rPr>
          <w:rFonts w:ascii="Arial" w:eastAsia="Times New Roman" w:hAnsi="Arial" w:cs="Arial"/>
          <w:color w:val="3B4658" w:themeColor="accent4" w:themeShade="80"/>
          <w:kern w:val="0"/>
          <w:sz w:val="24"/>
          <w:szCs w:val="24"/>
          <w:lang w:eastAsia="en-US"/>
        </w:rPr>
      </w:pPr>
      <w:r w:rsidRPr="003E2A2B">
        <w:rPr>
          <w:rFonts w:ascii="Arial" w:eastAsia="Times New Roman" w:hAnsi="Arial" w:cs="Arial"/>
          <w:color w:val="3B4658" w:themeColor="accent4" w:themeShade="80"/>
          <w:kern w:val="0"/>
          <w:sz w:val="24"/>
          <w:szCs w:val="24"/>
          <w:lang w:eastAsia="en-US"/>
        </w:rPr>
        <w:t>Do staff understand the written guidelines for the delivery of pre-employment transition services? </w:t>
      </w:r>
    </w:p>
    <w:p w14:paraId="69CD4B57" w14:textId="77777777" w:rsidR="003E2A2B" w:rsidRPr="003E2A2B" w:rsidRDefault="003E2A2B" w:rsidP="00475F00">
      <w:pPr>
        <w:numPr>
          <w:ilvl w:val="1"/>
          <w:numId w:val="2"/>
        </w:numPr>
        <w:spacing w:before="0" w:after="120" w:line="240" w:lineRule="auto"/>
        <w:textAlignment w:val="baseline"/>
        <w:rPr>
          <w:rFonts w:ascii="Arial" w:eastAsia="Times New Roman" w:hAnsi="Arial" w:cs="Arial"/>
          <w:color w:val="3B4658" w:themeColor="accent4" w:themeShade="80"/>
          <w:kern w:val="0"/>
          <w:sz w:val="24"/>
          <w:szCs w:val="24"/>
          <w:lang w:eastAsia="en-US"/>
        </w:rPr>
      </w:pPr>
      <w:r w:rsidRPr="003E2A2B">
        <w:rPr>
          <w:rFonts w:ascii="Arial" w:eastAsia="Times New Roman" w:hAnsi="Arial" w:cs="Arial"/>
          <w:color w:val="3B4658" w:themeColor="accent4" w:themeShade="80"/>
          <w:kern w:val="0"/>
          <w:sz w:val="24"/>
          <w:szCs w:val="24"/>
          <w:lang w:eastAsia="en-US"/>
        </w:rPr>
        <w:t>How a</w:t>
      </w:r>
      <w:r w:rsidR="00475F00">
        <w:rPr>
          <w:rFonts w:ascii="Arial" w:eastAsia="Times New Roman" w:hAnsi="Arial" w:cs="Arial"/>
          <w:color w:val="3B4658" w:themeColor="accent4" w:themeShade="80"/>
          <w:kern w:val="0"/>
          <w:sz w:val="24"/>
          <w:szCs w:val="24"/>
          <w:lang w:eastAsia="en-US"/>
        </w:rPr>
        <w:t xml:space="preserve">re you monitoring </w:t>
      </w:r>
      <w:r w:rsidRPr="003E2A2B">
        <w:rPr>
          <w:rFonts w:ascii="Arial" w:eastAsia="Times New Roman" w:hAnsi="Arial" w:cs="Arial"/>
          <w:color w:val="3B4658" w:themeColor="accent4" w:themeShade="80"/>
          <w:kern w:val="0"/>
          <w:sz w:val="24"/>
          <w:szCs w:val="24"/>
          <w:lang w:eastAsia="en-US"/>
        </w:rPr>
        <w:t>whether the staff is following what you wrote?</w:t>
      </w:r>
    </w:p>
    <w:p w14:paraId="03D03914" w14:textId="77777777" w:rsidR="003E2A2B" w:rsidRPr="003E2A2B" w:rsidRDefault="003E2A2B" w:rsidP="00475F00">
      <w:pPr>
        <w:numPr>
          <w:ilvl w:val="1"/>
          <w:numId w:val="2"/>
        </w:numPr>
        <w:spacing w:before="0" w:after="120" w:line="240" w:lineRule="auto"/>
        <w:textAlignment w:val="baseline"/>
        <w:rPr>
          <w:rFonts w:ascii="Arial" w:eastAsia="Times New Roman" w:hAnsi="Arial" w:cs="Arial"/>
          <w:color w:val="3B4658" w:themeColor="accent4" w:themeShade="80"/>
          <w:kern w:val="0"/>
          <w:sz w:val="24"/>
          <w:szCs w:val="24"/>
          <w:lang w:eastAsia="en-US"/>
        </w:rPr>
      </w:pPr>
      <w:r w:rsidRPr="003E2A2B">
        <w:rPr>
          <w:rFonts w:ascii="Arial" w:eastAsia="Times New Roman" w:hAnsi="Arial" w:cs="Arial"/>
          <w:color w:val="3B4658" w:themeColor="accent4" w:themeShade="80"/>
          <w:kern w:val="0"/>
          <w:sz w:val="24"/>
          <w:szCs w:val="24"/>
          <w:lang w:eastAsia="en-US"/>
        </w:rPr>
        <w:t>How often do you assess what is working and what is not? </w:t>
      </w:r>
    </w:p>
    <w:p w14:paraId="662A5A07" w14:textId="77777777" w:rsidR="003E2A2B" w:rsidRPr="00C97D46" w:rsidRDefault="003E2A2B" w:rsidP="00C0712D">
      <w:pPr>
        <w:pStyle w:val="Heading2"/>
        <w:spacing w:before="120"/>
      </w:pPr>
      <w:r w:rsidRPr="00C97D46">
        <w:t>Additional Resources:</w:t>
      </w:r>
    </w:p>
    <w:p w14:paraId="01CCAD5E" w14:textId="77777777" w:rsidR="00475F00" w:rsidRPr="00475F00" w:rsidRDefault="003E2A2B" w:rsidP="003E2A2B">
      <w:pPr>
        <w:numPr>
          <w:ilvl w:val="0"/>
          <w:numId w:val="37"/>
        </w:numPr>
        <w:spacing w:before="120" w:after="120" w:line="240" w:lineRule="auto"/>
        <w:textAlignment w:val="baseline"/>
        <w:rPr>
          <w:rFonts w:ascii="Arial" w:eastAsia="Times New Roman" w:hAnsi="Arial" w:cs="Arial"/>
          <w:i/>
          <w:iCs/>
          <w:color w:val="3B4658" w:themeColor="accent4" w:themeShade="80"/>
          <w:kern w:val="0"/>
          <w:sz w:val="24"/>
          <w:szCs w:val="24"/>
          <w:lang w:eastAsia="en-US"/>
        </w:rPr>
      </w:pPr>
      <w:r w:rsidRPr="003E2A2B">
        <w:rPr>
          <w:rFonts w:ascii="Arial" w:eastAsia="Times New Roman" w:hAnsi="Arial" w:cs="Arial"/>
          <w:color w:val="3B4658" w:themeColor="accent4" w:themeShade="80"/>
          <w:kern w:val="0"/>
          <w:sz w:val="24"/>
          <w:szCs w:val="24"/>
          <w:lang w:eastAsia="en-US"/>
        </w:rPr>
        <w:t xml:space="preserve">RSA mentioned continuous evaluation and financial forecasting in a Q &amp; A document released by OSERS on 10.16.20: </w:t>
      </w:r>
      <w:hyperlink r:id="rId19" w:history="1">
        <w:r w:rsidRPr="003E2A2B">
          <w:rPr>
            <w:rFonts w:ascii="Arial" w:eastAsia="Times New Roman" w:hAnsi="Arial" w:cs="Arial"/>
            <w:color w:val="002060"/>
            <w:kern w:val="0"/>
            <w:sz w:val="24"/>
            <w:szCs w:val="24"/>
            <w:u w:val="single"/>
            <w:lang w:eastAsia="en-US"/>
          </w:rPr>
          <w:t>RSA COVID-19 Questions &amp; Answers: Administration of the VR Services, AIVRS, and Business Enterprise Programs (PDF)</w:t>
        </w:r>
      </w:hyperlink>
      <w:r w:rsidRPr="003E2A2B">
        <w:rPr>
          <w:rFonts w:ascii="Arial" w:eastAsia="Times New Roman" w:hAnsi="Arial" w:cs="Arial"/>
          <w:color w:val="002060"/>
          <w:kern w:val="0"/>
          <w:sz w:val="24"/>
          <w:szCs w:val="24"/>
          <w:lang w:eastAsia="en-US"/>
        </w:rPr>
        <w:t xml:space="preserve">. </w:t>
      </w:r>
    </w:p>
    <w:p w14:paraId="24239510" w14:textId="77777777" w:rsidR="003E2A2B" w:rsidRPr="00475F00" w:rsidRDefault="003E2A2B" w:rsidP="00475F00">
      <w:pPr>
        <w:pStyle w:val="ListParagraph"/>
        <w:numPr>
          <w:ilvl w:val="0"/>
          <w:numId w:val="16"/>
        </w:numPr>
        <w:spacing w:before="120" w:after="120" w:line="240" w:lineRule="auto"/>
        <w:ind w:left="1440"/>
        <w:textAlignment w:val="baseline"/>
        <w:rPr>
          <w:rFonts w:ascii="Arial" w:eastAsia="Times New Roman" w:hAnsi="Arial" w:cs="Arial"/>
          <w:i/>
          <w:iCs/>
          <w:color w:val="3B4658" w:themeColor="accent4" w:themeShade="80"/>
          <w:kern w:val="0"/>
          <w:sz w:val="24"/>
          <w:szCs w:val="24"/>
          <w:lang w:eastAsia="en-US"/>
        </w:rPr>
      </w:pPr>
      <w:r w:rsidRPr="00475F00">
        <w:rPr>
          <w:rFonts w:ascii="Arial" w:eastAsia="Times New Roman" w:hAnsi="Arial" w:cs="Arial"/>
          <w:color w:val="3B4658" w:themeColor="accent4" w:themeShade="80"/>
          <w:kern w:val="0"/>
          <w:sz w:val="24"/>
          <w:szCs w:val="24"/>
          <w:lang w:eastAsia="en-US"/>
        </w:rPr>
        <w:t>In this document, RSA provided clarification, including: </w:t>
      </w:r>
    </w:p>
    <w:p w14:paraId="041A5D36" w14:textId="77777777" w:rsidR="003E2A2B" w:rsidRPr="0090586D" w:rsidRDefault="00475F00" w:rsidP="00475F00">
      <w:pPr>
        <w:spacing w:before="120" w:after="120" w:line="240" w:lineRule="auto"/>
        <w:ind w:left="1440"/>
        <w:rPr>
          <w:rFonts w:ascii="Arial" w:eastAsia="Times New Roman" w:hAnsi="Arial" w:cs="Arial"/>
          <w:color w:val="2B5258" w:themeColor="accent5" w:themeShade="80"/>
          <w:kern w:val="0"/>
          <w:sz w:val="24"/>
          <w:szCs w:val="24"/>
          <w:lang w:eastAsia="en-US"/>
        </w:rPr>
      </w:pPr>
      <w:r w:rsidRPr="0090586D">
        <w:rPr>
          <w:rFonts w:ascii="Arial" w:eastAsia="Times New Roman" w:hAnsi="Arial" w:cs="Arial"/>
          <w:i/>
          <w:iCs/>
          <w:color w:val="2B5258" w:themeColor="accent5" w:themeShade="80"/>
          <w:kern w:val="0"/>
          <w:sz w:val="24"/>
          <w:szCs w:val="24"/>
          <w:lang w:eastAsia="en-US"/>
        </w:rPr>
        <w:t>…</w:t>
      </w:r>
      <w:r w:rsidR="003E2A2B" w:rsidRPr="0090586D">
        <w:rPr>
          <w:rFonts w:ascii="Arial" w:eastAsia="Times New Roman" w:hAnsi="Arial" w:cs="Arial"/>
          <w:i/>
          <w:iCs/>
          <w:color w:val="2B5258" w:themeColor="accent5" w:themeShade="80"/>
          <w:kern w:val="0"/>
          <w:sz w:val="24"/>
          <w:szCs w:val="24"/>
          <w:lang w:eastAsia="en-US"/>
        </w:rPr>
        <w:t>There is no requirement that a VR agency wait until all students with disabilities have received direct services before it can spend funds on other authorized activities; the VR agency just has to ensure sufficient funds are available to provide the required direct services and coordination activities before engaging in the other “authorized” activities..</w:t>
      </w:r>
      <w:r w:rsidR="003E2A2B" w:rsidRPr="0090586D">
        <w:rPr>
          <w:rFonts w:ascii="Arial" w:eastAsia="Times New Roman" w:hAnsi="Arial" w:cs="Arial"/>
          <w:color w:val="2B5258" w:themeColor="accent5" w:themeShade="80"/>
          <w:kern w:val="0"/>
          <w:sz w:val="24"/>
          <w:szCs w:val="24"/>
          <w:lang w:eastAsia="en-US"/>
        </w:rPr>
        <w:t>.</w:t>
      </w:r>
    </w:p>
    <w:p w14:paraId="0276954C" w14:textId="77777777" w:rsidR="00475F00" w:rsidRPr="00475F00" w:rsidRDefault="00475F00" w:rsidP="00475F00">
      <w:pPr>
        <w:spacing w:before="120" w:after="120" w:line="240" w:lineRule="auto"/>
        <w:ind w:left="720"/>
        <w:textAlignment w:val="baseline"/>
        <w:rPr>
          <w:rFonts w:ascii="Arial" w:eastAsia="Times New Roman" w:hAnsi="Arial" w:cs="Arial"/>
          <w:color w:val="3B4658" w:themeColor="accent4" w:themeShade="80"/>
          <w:kern w:val="0"/>
          <w:sz w:val="16"/>
          <w:szCs w:val="16"/>
          <w:lang w:eastAsia="en-US"/>
        </w:rPr>
      </w:pPr>
    </w:p>
    <w:p w14:paraId="1A4A2C53" w14:textId="77777777" w:rsidR="00475F00" w:rsidRDefault="00C0712D" w:rsidP="003E2A2B">
      <w:pPr>
        <w:numPr>
          <w:ilvl w:val="0"/>
          <w:numId w:val="38"/>
        </w:numPr>
        <w:spacing w:before="120" w:after="120" w:line="240" w:lineRule="auto"/>
        <w:textAlignment w:val="baseline"/>
        <w:rPr>
          <w:rFonts w:ascii="Arial" w:eastAsia="Times New Roman" w:hAnsi="Arial" w:cs="Arial"/>
          <w:color w:val="3B4658" w:themeColor="accent4" w:themeShade="80"/>
          <w:kern w:val="0"/>
          <w:sz w:val="24"/>
          <w:szCs w:val="24"/>
          <w:lang w:eastAsia="en-US"/>
        </w:rPr>
      </w:pPr>
      <w:hyperlink r:id="rId20" w:history="1">
        <w:r w:rsidR="003E2A2B" w:rsidRPr="003E2A2B">
          <w:rPr>
            <w:rFonts w:ascii="Arial" w:eastAsia="Times New Roman" w:hAnsi="Arial" w:cs="Arial"/>
            <w:color w:val="002060"/>
            <w:kern w:val="0"/>
            <w:sz w:val="24"/>
            <w:szCs w:val="24"/>
            <w:u w:val="single"/>
            <w:lang w:eastAsia="en-US"/>
          </w:rPr>
          <w:t>NOI - Pre-Employment Transition Services Flexibilities Regarding the Use of VR Funds</w:t>
        </w:r>
      </w:hyperlink>
      <w:r w:rsidR="003E2A2B" w:rsidRPr="003E2A2B">
        <w:rPr>
          <w:rFonts w:ascii="Arial" w:eastAsia="Times New Roman" w:hAnsi="Arial" w:cs="Arial"/>
          <w:color w:val="3B4658" w:themeColor="accent4" w:themeShade="80"/>
          <w:kern w:val="0"/>
          <w:sz w:val="24"/>
          <w:szCs w:val="24"/>
          <w:lang w:eastAsia="en-US"/>
        </w:rPr>
        <w:t xml:space="preserve"> effective 2/28/20. </w:t>
      </w:r>
    </w:p>
    <w:p w14:paraId="2A9329F9" w14:textId="77777777" w:rsidR="00F67E1D" w:rsidRDefault="003E2A2B" w:rsidP="00475F00">
      <w:pPr>
        <w:pStyle w:val="ListParagraph"/>
        <w:numPr>
          <w:ilvl w:val="0"/>
          <w:numId w:val="16"/>
        </w:numPr>
        <w:spacing w:before="120" w:after="120" w:line="240" w:lineRule="auto"/>
        <w:ind w:left="1440"/>
        <w:textAlignment w:val="baseline"/>
        <w:rPr>
          <w:rFonts w:ascii="Arial" w:eastAsia="Times New Roman" w:hAnsi="Arial" w:cs="Arial"/>
          <w:color w:val="3B4658" w:themeColor="accent4" w:themeShade="80"/>
          <w:kern w:val="0"/>
          <w:sz w:val="24"/>
          <w:szCs w:val="24"/>
          <w:lang w:eastAsia="en-US"/>
        </w:rPr>
      </w:pPr>
      <w:r w:rsidRPr="00475F00">
        <w:rPr>
          <w:rFonts w:ascii="Arial" w:eastAsia="Times New Roman" w:hAnsi="Arial" w:cs="Arial"/>
          <w:color w:val="3B4658" w:themeColor="accent4" w:themeShade="80"/>
          <w:kern w:val="0"/>
          <w:sz w:val="24"/>
          <w:szCs w:val="24"/>
          <w:lang w:eastAsia="en-US"/>
        </w:rPr>
        <w:t xml:space="preserve">The NOI is vital to review and discuss with your leadership team to fully understand the real impact of providing pre-employment transition services on your program and developing an accurate forecast. </w:t>
      </w:r>
    </w:p>
    <w:p w14:paraId="6ABDFA50" w14:textId="77777777" w:rsidR="00F67E1D" w:rsidRDefault="00F67E1D" w:rsidP="00F67E1D">
      <w:pPr>
        <w:pStyle w:val="ListParagraph"/>
        <w:spacing w:before="120" w:after="120" w:line="240" w:lineRule="auto"/>
        <w:ind w:left="1440"/>
        <w:textAlignment w:val="baseline"/>
        <w:rPr>
          <w:rFonts w:ascii="Arial" w:eastAsia="Times New Roman" w:hAnsi="Arial" w:cs="Arial"/>
          <w:color w:val="3B4658" w:themeColor="accent4" w:themeShade="80"/>
          <w:kern w:val="0"/>
          <w:sz w:val="24"/>
          <w:szCs w:val="24"/>
          <w:lang w:eastAsia="en-US"/>
        </w:rPr>
      </w:pPr>
    </w:p>
    <w:p w14:paraId="1538CC7F" w14:textId="77777777" w:rsidR="003E2A2B" w:rsidRPr="00475F00" w:rsidRDefault="003E2A2B" w:rsidP="00475F00">
      <w:pPr>
        <w:pStyle w:val="ListParagraph"/>
        <w:numPr>
          <w:ilvl w:val="0"/>
          <w:numId w:val="16"/>
        </w:numPr>
        <w:spacing w:before="120" w:after="120" w:line="240" w:lineRule="auto"/>
        <w:ind w:left="1440"/>
        <w:textAlignment w:val="baseline"/>
        <w:rPr>
          <w:rFonts w:ascii="Arial" w:eastAsia="Times New Roman" w:hAnsi="Arial" w:cs="Arial"/>
          <w:color w:val="3B4658" w:themeColor="accent4" w:themeShade="80"/>
          <w:kern w:val="0"/>
          <w:sz w:val="24"/>
          <w:szCs w:val="24"/>
          <w:lang w:eastAsia="en-US"/>
        </w:rPr>
      </w:pPr>
      <w:r w:rsidRPr="00475F00">
        <w:rPr>
          <w:rFonts w:ascii="Arial" w:eastAsia="Times New Roman" w:hAnsi="Arial" w:cs="Arial"/>
          <w:color w:val="3B4658" w:themeColor="accent4" w:themeShade="80"/>
          <w:kern w:val="0"/>
          <w:sz w:val="24"/>
          <w:szCs w:val="24"/>
          <w:lang w:eastAsia="en-US"/>
        </w:rPr>
        <w:t>Additional expenditures may count toward the reserve for students who have been determined eligible with an approved IPE and need additional VR services to benefit from pre-employment transition services. The other VR services include transportation, coaching, maintenance, family services, and more.</w:t>
      </w:r>
    </w:p>
    <w:p w14:paraId="3F09DA29" w14:textId="77777777" w:rsidR="006F0BA3" w:rsidRPr="00475F00" w:rsidRDefault="006F0BA3" w:rsidP="00475F00">
      <w:pPr>
        <w:ind w:left="360"/>
        <w:rPr>
          <w:rFonts w:ascii="Arial" w:hAnsi="Arial" w:cs="Arial"/>
          <w:color w:val="3B4658" w:themeColor="accent4" w:themeShade="80"/>
          <w:sz w:val="24"/>
          <w:szCs w:val="24"/>
        </w:rPr>
      </w:pPr>
    </w:p>
    <w:p w14:paraId="78032F4F" w14:textId="77777777" w:rsidR="003E24DF" w:rsidRPr="003E2A2B" w:rsidRDefault="003E24DF" w:rsidP="00621988">
      <w:pPr>
        <w:rPr>
          <w:rFonts w:ascii="Arial" w:hAnsi="Arial" w:cs="Arial"/>
          <w:color w:val="3B4658" w:themeColor="accent4" w:themeShade="80"/>
          <w:sz w:val="24"/>
          <w:szCs w:val="24"/>
        </w:rPr>
      </w:pPr>
    </w:p>
    <w:sectPr w:rsidR="003E24DF" w:rsidRPr="003E2A2B" w:rsidSect="003D6F71">
      <w:headerReference w:type="default" r:id="rId21"/>
      <w:footerReference w:type="default" r:id="rId22"/>
      <w:pgSz w:w="12240" w:h="15840" w:code="1"/>
      <w:pgMar w:top="1980" w:right="1440" w:bottom="2160" w:left="1440" w:header="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963F2" w14:textId="77777777" w:rsidR="0024430B" w:rsidRDefault="0024430B" w:rsidP="00D45945">
      <w:pPr>
        <w:spacing w:before="0" w:after="0" w:line="240" w:lineRule="auto"/>
      </w:pPr>
      <w:r>
        <w:separator/>
      </w:r>
    </w:p>
  </w:endnote>
  <w:endnote w:type="continuationSeparator" w:id="0">
    <w:p w14:paraId="68491ACD" w14:textId="77777777" w:rsidR="0024430B" w:rsidRDefault="0024430B"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015319"/>
      <w:docPartObj>
        <w:docPartGallery w:val="Page Numbers (Bottom of Page)"/>
        <w:docPartUnique/>
      </w:docPartObj>
    </w:sdtPr>
    <w:sdtEndPr>
      <w:rPr>
        <w:noProof/>
      </w:rPr>
    </w:sdtEndPr>
    <w:sdtContent>
      <w:p w14:paraId="1B0A4B5E" w14:textId="530BCB98" w:rsidR="00F67E1D" w:rsidRDefault="002920BC">
        <w:pPr>
          <w:pStyle w:val="Footer"/>
          <w:jc w:val="right"/>
        </w:pPr>
        <w:r w:rsidRPr="007C5AE2">
          <w:rPr>
            <w:noProof/>
            <w:color w:val="000000" w:themeColor="text1"/>
            <w:lang w:eastAsia="en-US"/>
          </w:rPr>
          <mc:AlternateContent>
            <mc:Choice Requires="wps">
              <w:drawing>
                <wp:anchor distT="45720" distB="45720" distL="114300" distR="114300" simplePos="0" relativeHeight="251668480" behindDoc="0" locked="0" layoutInCell="1" allowOverlap="1" wp14:anchorId="27DB7643" wp14:editId="13CCC1BC">
                  <wp:simplePos x="0" y="0"/>
                  <wp:positionH relativeFrom="column">
                    <wp:posOffset>-714375</wp:posOffset>
                  </wp:positionH>
                  <wp:positionV relativeFrom="paragraph">
                    <wp:posOffset>92075</wp:posOffset>
                  </wp:positionV>
                  <wp:extent cx="4162425" cy="729615"/>
                  <wp:effectExtent l="0" t="0" r="28575" b="1333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729615"/>
                          </a:xfrm>
                          <a:prstGeom prst="snip1Rect">
                            <a:avLst/>
                          </a:prstGeom>
                          <a:solidFill>
                            <a:schemeClr val="accent5">
                              <a:lumMod val="20000"/>
                              <a:lumOff val="80000"/>
                            </a:schemeClr>
                          </a:solidFill>
                          <a:ln w="9525">
                            <a:solidFill>
                              <a:srgbClr val="000000"/>
                            </a:solidFill>
                            <a:miter lim="800000"/>
                            <a:headEnd/>
                            <a:tailEnd/>
                          </a:ln>
                        </wps:spPr>
                        <wps:txbx>
                          <w:txbxContent>
                            <w:p w14:paraId="74E6E3E0" w14:textId="25027F96" w:rsidR="007C5AE2" w:rsidRPr="007C5AE2" w:rsidRDefault="007C5AE2" w:rsidP="00B82821">
                              <w:pPr>
                                <w:shd w:val="clear" w:color="auto" w:fill="DDECEE" w:themeFill="accent5" w:themeFillTint="33"/>
                                <w:rPr>
                                  <w:rFonts w:ascii="Arial" w:hAnsi="Arial" w:cs="Arial"/>
                                  <w:sz w:val="16"/>
                                  <w:szCs w:val="16"/>
                                </w:rPr>
                              </w:pPr>
                              <w:r>
                                <w:rPr>
                                  <w:rFonts w:ascii="Arial" w:hAnsi="Arial" w:cs="Arial"/>
                                  <w:sz w:val="16"/>
                                  <w:szCs w:val="16"/>
                                </w:rPr>
                                <w:t>"This product was</w:t>
                              </w:r>
                              <w:r w:rsidRPr="007C5AE2">
                                <w:rPr>
                                  <w:rFonts w:ascii="Arial" w:hAnsi="Arial" w:cs="Arial"/>
                                  <w:sz w:val="16"/>
                                  <w:szCs w:val="16"/>
                                </w:rPr>
                                <w:t xml:space="preserve"> developed</w:t>
                              </w:r>
                              <w:r>
                                <w:rPr>
                                  <w:rFonts w:ascii="Arial" w:hAnsi="Arial" w:cs="Arial"/>
                                  <w:sz w:val="16"/>
                                  <w:szCs w:val="16"/>
                                </w:rPr>
                                <w:t xml:space="preserve"> by the VRTAC-QM (</w:t>
                              </w:r>
                              <w:r w:rsidRPr="007C5AE2">
                                <w:rPr>
                                  <w:rFonts w:ascii="Arial" w:hAnsi="Arial" w:cs="Arial"/>
                                  <w:sz w:val="16"/>
                                  <w:szCs w:val="16"/>
                                </w:rPr>
                                <w:t>H264J200002</w:t>
                              </w:r>
                              <w:r>
                                <w:rPr>
                                  <w:rFonts w:ascii="Arial" w:hAnsi="Arial" w:cs="Arial"/>
                                  <w:sz w:val="16"/>
                                  <w:szCs w:val="16"/>
                                </w:rPr>
                                <w:t>)</w:t>
                              </w:r>
                              <w:r w:rsidRPr="007C5AE2">
                                <w:rPr>
                                  <w:rFonts w:ascii="Arial" w:hAnsi="Arial" w:cs="Arial"/>
                                  <w:sz w:val="16"/>
                                  <w:szCs w:val="16"/>
                                </w:rPr>
                                <w:t xml:space="preserve"> </w:t>
                              </w:r>
                              <w:r>
                                <w:rPr>
                                  <w:rFonts w:ascii="Arial" w:hAnsi="Arial" w:cs="Arial"/>
                                  <w:sz w:val="16"/>
                                  <w:szCs w:val="16"/>
                                </w:rPr>
                                <w:t>and the NTACT:C (</w:t>
                              </w:r>
                              <w:r w:rsidRPr="007C5AE2">
                                <w:rPr>
                                  <w:rFonts w:ascii="Arial" w:hAnsi="Arial" w:cs="Arial"/>
                                  <w:sz w:val="16"/>
                                  <w:szCs w:val="16"/>
                                </w:rPr>
                                <w:t>H326E200003),</w:t>
                              </w:r>
                              <w:r>
                                <w:rPr>
                                  <w:rFonts w:ascii="Arial" w:hAnsi="Arial" w:cs="Arial"/>
                                  <w:sz w:val="16"/>
                                  <w:szCs w:val="16"/>
                                </w:rPr>
                                <w:t xml:space="preserve"> projects funded by </w:t>
                              </w:r>
                              <w:r w:rsidRPr="007C5AE2">
                                <w:rPr>
                                  <w:rFonts w:ascii="Arial" w:hAnsi="Arial" w:cs="Arial"/>
                                  <w:sz w:val="16"/>
                                  <w:szCs w:val="16"/>
                                </w:rPr>
                                <w:t>grant</w:t>
                              </w:r>
                              <w:r>
                                <w:rPr>
                                  <w:rFonts w:ascii="Arial" w:hAnsi="Arial" w:cs="Arial"/>
                                  <w:sz w:val="16"/>
                                  <w:szCs w:val="16"/>
                                </w:rPr>
                                <w:t xml:space="preserve">s </w:t>
                              </w:r>
                              <w:r w:rsidRPr="007C5AE2">
                                <w:rPr>
                                  <w:rFonts w:ascii="Arial" w:hAnsi="Arial" w:cs="Arial"/>
                                  <w:sz w:val="16"/>
                                  <w:szCs w:val="16"/>
                                </w:rPr>
                                <w:t>from the Department of Education. However, these contents do not necessarily represent the policy</w:t>
                              </w:r>
                              <w:r w:rsidRPr="007C5AE2">
                                <w:t xml:space="preserve"> </w:t>
                              </w:r>
                              <w:r w:rsidRPr="007C5AE2">
                                <w:rPr>
                                  <w:rFonts w:ascii="Arial" w:hAnsi="Arial" w:cs="Arial"/>
                                  <w:sz w:val="16"/>
                                  <w:szCs w:val="16"/>
                                </w:rPr>
                                <w:t>of the Department of Education, and you should not assume endorsement by the Federal Government."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B7643" id="Text Box 2" o:spid="_x0000_s1026" alt="&quot;&quot;" style="position:absolute;left:0;text-align:left;margin-left:-56.25pt;margin-top:7.25pt;width:327.75pt;height:57.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4162425,7296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" adj="-11796480,,5400" path="m,l4040820,r121605,121605l4162425,729615,,729615,,xe" fillcolor="#ddecee [664]">
                  <v:stroke joinstyle="miter"/>
                  <v:formulas/>
                  <v:path o:connecttype="custom" o:connectlocs="0,0;4040820,0;4162425,121605;4162425,729615;0,729615;0,0" o:connectangles="0,0,0,0,0,0" textboxrect="0,0,4162425,729615"/>
                  <v:textbox>
                    <w:txbxContent>
                      <w:p w14:paraId="74E6E3E0" w14:textId="25027F96" w:rsidR="007C5AE2" w:rsidRPr="007C5AE2" w:rsidRDefault="007C5AE2" w:rsidP="00B82821">
                        <w:pPr>
                          <w:shd w:val="clear" w:color="auto" w:fill="DDECEE" w:themeFill="accent5" w:themeFillTint="33"/>
                          <w:rPr>
                            <w:rFonts w:ascii="Arial" w:hAnsi="Arial" w:cs="Arial"/>
                            <w:sz w:val="16"/>
                            <w:szCs w:val="16"/>
                          </w:rPr>
                        </w:pPr>
                        <w:r>
                          <w:rPr>
                            <w:rFonts w:ascii="Arial" w:hAnsi="Arial" w:cs="Arial"/>
                            <w:sz w:val="16"/>
                            <w:szCs w:val="16"/>
                          </w:rPr>
                          <w:t>"This product was</w:t>
                        </w:r>
                        <w:r w:rsidRPr="007C5AE2">
                          <w:rPr>
                            <w:rFonts w:ascii="Arial" w:hAnsi="Arial" w:cs="Arial"/>
                            <w:sz w:val="16"/>
                            <w:szCs w:val="16"/>
                          </w:rPr>
                          <w:t xml:space="preserve"> developed</w:t>
                        </w:r>
                        <w:r>
                          <w:rPr>
                            <w:rFonts w:ascii="Arial" w:hAnsi="Arial" w:cs="Arial"/>
                            <w:sz w:val="16"/>
                            <w:szCs w:val="16"/>
                          </w:rPr>
                          <w:t xml:space="preserve"> by the VRTAC-QM (</w:t>
                        </w:r>
                        <w:r w:rsidRPr="007C5AE2">
                          <w:rPr>
                            <w:rFonts w:ascii="Arial" w:hAnsi="Arial" w:cs="Arial"/>
                            <w:sz w:val="16"/>
                            <w:szCs w:val="16"/>
                          </w:rPr>
                          <w:t>H264J200002</w:t>
                        </w:r>
                        <w:r>
                          <w:rPr>
                            <w:rFonts w:ascii="Arial" w:hAnsi="Arial" w:cs="Arial"/>
                            <w:sz w:val="16"/>
                            <w:szCs w:val="16"/>
                          </w:rPr>
                          <w:t>)</w:t>
                        </w:r>
                        <w:r w:rsidRPr="007C5AE2">
                          <w:rPr>
                            <w:rFonts w:ascii="Arial" w:hAnsi="Arial" w:cs="Arial"/>
                            <w:sz w:val="16"/>
                            <w:szCs w:val="16"/>
                          </w:rPr>
                          <w:t xml:space="preserve"> </w:t>
                        </w:r>
                        <w:r>
                          <w:rPr>
                            <w:rFonts w:ascii="Arial" w:hAnsi="Arial" w:cs="Arial"/>
                            <w:sz w:val="16"/>
                            <w:szCs w:val="16"/>
                          </w:rPr>
                          <w:t>and the NTACT:C (</w:t>
                        </w:r>
                        <w:r w:rsidRPr="007C5AE2">
                          <w:rPr>
                            <w:rFonts w:ascii="Arial" w:hAnsi="Arial" w:cs="Arial"/>
                            <w:sz w:val="16"/>
                            <w:szCs w:val="16"/>
                          </w:rPr>
                          <w:t>H326E200003),</w:t>
                        </w:r>
                        <w:r>
                          <w:rPr>
                            <w:rFonts w:ascii="Arial" w:hAnsi="Arial" w:cs="Arial"/>
                            <w:sz w:val="16"/>
                            <w:szCs w:val="16"/>
                          </w:rPr>
                          <w:t xml:space="preserve"> projects funded by </w:t>
                        </w:r>
                        <w:r w:rsidRPr="007C5AE2">
                          <w:rPr>
                            <w:rFonts w:ascii="Arial" w:hAnsi="Arial" w:cs="Arial"/>
                            <w:sz w:val="16"/>
                            <w:szCs w:val="16"/>
                          </w:rPr>
                          <w:t>grant</w:t>
                        </w:r>
                        <w:r>
                          <w:rPr>
                            <w:rFonts w:ascii="Arial" w:hAnsi="Arial" w:cs="Arial"/>
                            <w:sz w:val="16"/>
                            <w:szCs w:val="16"/>
                          </w:rPr>
                          <w:t xml:space="preserve">s </w:t>
                        </w:r>
                        <w:r w:rsidRPr="007C5AE2">
                          <w:rPr>
                            <w:rFonts w:ascii="Arial" w:hAnsi="Arial" w:cs="Arial"/>
                            <w:sz w:val="16"/>
                            <w:szCs w:val="16"/>
                          </w:rPr>
                          <w:t>from the Department of Education. However, these contents do not necessarily represent the policy</w:t>
                        </w:r>
                        <w:r w:rsidRPr="007C5AE2">
                          <w:t xml:space="preserve"> </w:t>
                        </w:r>
                        <w:r w:rsidRPr="007C5AE2">
                          <w:rPr>
                            <w:rFonts w:ascii="Arial" w:hAnsi="Arial" w:cs="Arial"/>
                            <w:sz w:val="16"/>
                            <w:szCs w:val="16"/>
                          </w:rPr>
                          <w:t>of the Department of Education, and you should not assume endorsement by the Federal Government."</w:t>
                        </w:r>
                      </w:p>
                    </w:txbxContent>
                  </v:textbox>
                  <w10:wrap type="square"/>
                </v:shape>
              </w:pict>
            </mc:Fallback>
          </mc:AlternateContent>
        </w:r>
        <w:r w:rsidR="00A644EB">
          <w:rPr>
            <w:noProof/>
          </w:rPr>
          <w:drawing>
            <wp:anchor distT="0" distB="0" distL="114300" distR="114300" simplePos="0" relativeHeight="251669504" behindDoc="1" locked="0" layoutInCell="1" allowOverlap="1" wp14:anchorId="5BF34C9A" wp14:editId="405BECA0">
              <wp:simplePos x="0" y="0"/>
              <wp:positionH relativeFrom="page">
                <wp:posOffset>85725</wp:posOffset>
              </wp:positionH>
              <wp:positionV relativeFrom="paragraph">
                <wp:posOffset>-118745</wp:posOffset>
              </wp:positionV>
              <wp:extent cx="7600950" cy="1062883"/>
              <wp:effectExtent l="0" t="0" r="0" b="4445"/>
              <wp:wrapNone/>
              <wp:docPr id="212" name="Picture 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783" cy="1065656"/>
                      </a:xfrm>
                      <a:prstGeom prst="rect">
                        <a:avLst/>
                      </a:prstGeom>
                    </pic:spPr>
                  </pic:pic>
                </a:graphicData>
              </a:graphic>
              <wp14:sizeRelH relativeFrom="page">
                <wp14:pctWidth>0</wp14:pctWidth>
              </wp14:sizeRelH>
              <wp14:sizeRelV relativeFrom="page">
                <wp14:pctHeight>0</wp14:pctHeight>
              </wp14:sizeRelV>
            </wp:anchor>
          </w:drawing>
        </w:r>
        <w:r w:rsidR="00F67E1D">
          <w:fldChar w:fldCharType="begin"/>
        </w:r>
        <w:r w:rsidR="00F67E1D">
          <w:instrText xml:space="preserve"> PAGE   \* MERGEFORMAT </w:instrText>
        </w:r>
        <w:r w:rsidR="00F67E1D">
          <w:fldChar w:fldCharType="separate"/>
        </w:r>
        <w:r w:rsidR="009D12DE">
          <w:rPr>
            <w:noProof/>
          </w:rPr>
          <w:t>1</w:t>
        </w:r>
        <w:r w:rsidR="00F67E1D">
          <w:rPr>
            <w:noProof/>
          </w:rPr>
          <w:fldChar w:fldCharType="end"/>
        </w:r>
      </w:p>
    </w:sdtContent>
  </w:sdt>
  <w:p w14:paraId="74FA0985" w14:textId="73F10FFC" w:rsidR="00F67E1D" w:rsidRDefault="00F67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5A7C9" w14:textId="77777777" w:rsidR="0024430B" w:rsidRDefault="0024430B" w:rsidP="00D45945">
      <w:pPr>
        <w:spacing w:before="0" w:after="0" w:line="240" w:lineRule="auto"/>
      </w:pPr>
      <w:r>
        <w:separator/>
      </w:r>
    </w:p>
  </w:footnote>
  <w:footnote w:type="continuationSeparator" w:id="0">
    <w:p w14:paraId="3AE9C794" w14:textId="77777777" w:rsidR="0024430B" w:rsidRDefault="0024430B"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FFC1" w14:textId="0D8B639C" w:rsidR="00D45945" w:rsidRDefault="00025D51" w:rsidP="00F74662">
    <w:pPr>
      <w:pStyle w:val="Header"/>
      <w:tabs>
        <w:tab w:val="left" w:pos="2595"/>
        <w:tab w:val="left" w:pos="5175"/>
        <w:tab w:val="right" w:pos="9360"/>
      </w:tabs>
      <w:spacing w:before="120"/>
      <w:ind w:left="-1296"/>
      <w:jc w:val="left"/>
      <w:rPr>
        <w:noProof/>
        <w:lang w:eastAsia="en-US"/>
      </w:rPr>
    </w:pPr>
    <w:r>
      <w:rPr>
        <w:noProof/>
        <w:lang w:eastAsia="en-US"/>
      </w:rPr>
      <w:drawing>
        <wp:inline distT="0" distB="0" distL="0" distR="0" wp14:anchorId="37791DF5" wp14:editId="5CF24342">
          <wp:extent cx="7580376" cy="1051560"/>
          <wp:effectExtent l="0" t="0" r="1905" b="0"/>
          <wp:docPr id="211" name="Picture 211" descr="Shared by the Vocational Rehabilitation Technical Assistance Center for Quality Management (VRTAC-QM) and the National Technical Assistance Center on Transition (NTACT: The Collaborative) - Improving Opportunities and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red by the Vocational Rehabilitation Technical Assistance Center for Quality Management (VRTAC-QM) and the National Technical Assistance Center on Transition (NTACT: The Collaborative) - Improving Opportunities and Outcomes"/>
                  <pic:cNvPicPr/>
                </pic:nvPicPr>
                <pic:blipFill>
                  <a:blip r:embed="rId1">
                    <a:extLst>
                      <a:ext uri="{28A0092B-C50C-407E-A947-70E740481C1C}">
                        <a14:useLocalDpi xmlns:a14="http://schemas.microsoft.com/office/drawing/2010/main" val="0"/>
                      </a:ext>
                    </a:extLst>
                  </a:blip>
                  <a:stretch>
                    <a:fillRect/>
                  </a:stretch>
                </pic:blipFill>
                <pic:spPr>
                  <a:xfrm>
                    <a:off x="0" y="0"/>
                    <a:ext cx="7580376" cy="1051560"/>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A2EAE"/>
    <w:multiLevelType w:val="multilevel"/>
    <w:tmpl w:val="026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D437D"/>
    <w:multiLevelType w:val="multilevel"/>
    <w:tmpl w:val="C96A92E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564E5"/>
    <w:multiLevelType w:val="multilevel"/>
    <w:tmpl w:val="E604C41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B75D9"/>
    <w:multiLevelType w:val="multilevel"/>
    <w:tmpl w:val="C8B8F33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6F451EF"/>
    <w:multiLevelType w:val="multilevel"/>
    <w:tmpl w:val="04DCA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F3CC8"/>
    <w:multiLevelType w:val="multilevel"/>
    <w:tmpl w:val="E85A5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841CF"/>
    <w:multiLevelType w:val="hybridMultilevel"/>
    <w:tmpl w:val="E8A83A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ED77F8"/>
    <w:multiLevelType w:val="multilevel"/>
    <w:tmpl w:val="94D42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45D52"/>
    <w:multiLevelType w:val="hybridMultilevel"/>
    <w:tmpl w:val="9216FEC0"/>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D3149C"/>
    <w:multiLevelType w:val="multilevel"/>
    <w:tmpl w:val="C1EE6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71337"/>
    <w:multiLevelType w:val="multilevel"/>
    <w:tmpl w:val="9DEC129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2BC7314F"/>
    <w:multiLevelType w:val="multilevel"/>
    <w:tmpl w:val="B086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11F56"/>
    <w:multiLevelType w:val="multilevel"/>
    <w:tmpl w:val="E0525F6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B10E8F"/>
    <w:multiLevelType w:val="multilevel"/>
    <w:tmpl w:val="8428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55A65"/>
    <w:multiLevelType w:val="multilevel"/>
    <w:tmpl w:val="58A8813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552190"/>
    <w:multiLevelType w:val="multilevel"/>
    <w:tmpl w:val="9796F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104E2"/>
    <w:multiLevelType w:val="multilevel"/>
    <w:tmpl w:val="1F66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55E0E"/>
    <w:multiLevelType w:val="multilevel"/>
    <w:tmpl w:val="0366DB7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910511"/>
    <w:multiLevelType w:val="hybridMultilevel"/>
    <w:tmpl w:val="F90CE78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F155012"/>
    <w:multiLevelType w:val="hybridMultilevel"/>
    <w:tmpl w:val="970E8CE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64E5ABA"/>
    <w:multiLevelType w:val="multilevel"/>
    <w:tmpl w:val="BB902ED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682896"/>
    <w:multiLevelType w:val="multilevel"/>
    <w:tmpl w:val="7EE0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E51AA"/>
    <w:multiLevelType w:val="multilevel"/>
    <w:tmpl w:val="4AE4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B34B2D"/>
    <w:multiLevelType w:val="multilevel"/>
    <w:tmpl w:val="8034D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F3794"/>
    <w:multiLevelType w:val="multilevel"/>
    <w:tmpl w:val="F570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C400A"/>
    <w:multiLevelType w:val="multilevel"/>
    <w:tmpl w:val="EE24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607517"/>
    <w:multiLevelType w:val="hybridMultilevel"/>
    <w:tmpl w:val="39643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6427FA"/>
    <w:multiLevelType w:val="hybridMultilevel"/>
    <w:tmpl w:val="BF0004D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2EC20D3"/>
    <w:multiLevelType w:val="multilevel"/>
    <w:tmpl w:val="F55A137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7558704C"/>
    <w:multiLevelType w:val="hybridMultilevel"/>
    <w:tmpl w:val="B2A62D9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76B2823"/>
    <w:multiLevelType w:val="multilevel"/>
    <w:tmpl w:val="17D00A5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66772F"/>
    <w:multiLevelType w:val="multilevel"/>
    <w:tmpl w:val="508EA6F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5"/>
  </w:num>
  <w:num w:numId="3">
    <w:abstractNumId w:val="25"/>
  </w:num>
  <w:num w:numId="4">
    <w:abstractNumId w:val="9"/>
    <w:lvlOverride w:ilvl="0">
      <w:lvl w:ilvl="0">
        <w:numFmt w:val="decimal"/>
        <w:lvlText w:val="%1."/>
        <w:lvlJc w:val="left"/>
      </w:lvl>
    </w:lvlOverride>
  </w:num>
  <w:num w:numId="5">
    <w:abstractNumId w:val="28"/>
  </w:num>
  <w:num w:numId="6">
    <w:abstractNumId w:val="3"/>
  </w:num>
  <w:num w:numId="7">
    <w:abstractNumId w:val="3"/>
  </w:num>
  <w:num w:numId="8">
    <w:abstractNumId w:val="31"/>
    <w:lvlOverride w:ilvl="0">
      <w:lvl w:ilvl="0">
        <w:numFmt w:val="decimal"/>
        <w:lvlText w:val="%1."/>
        <w:lvlJc w:val="left"/>
      </w:lvl>
    </w:lvlOverride>
  </w:num>
  <w:num w:numId="9">
    <w:abstractNumId w:val="3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3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
    <w:abstractNumId w:val="0"/>
    <w:lvlOverride w:ilvl="0">
      <w:lvl w:ilvl="0">
        <w:numFmt w:val="bullet"/>
        <w:lvlText w:val="o"/>
        <w:lvlJc w:val="left"/>
        <w:pPr>
          <w:tabs>
            <w:tab w:val="num" w:pos="1080"/>
          </w:tabs>
          <w:ind w:left="1080" w:hanging="360"/>
        </w:pPr>
        <w:rPr>
          <w:rFonts w:ascii="Courier New" w:hAnsi="Courier New" w:hint="default"/>
          <w:sz w:val="20"/>
        </w:rPr>
      </w:lvl>
    </w:lvlOverride>
  </w:num>
  <w:num w:numId="12">
    <w:abstractNumId w:val="10"/>
  </w:num>
  <w:num w:numId="13">
    <w:abstractNumId w:val="19"/>
  </w:num>
  <w:num w:numId="14">
    <w:abstractNumId w:val="8"/>
  </w:num>
  <w:num w:numId="15">
    <w:abstractNumId w:val="30"/>
  </w:num>
  <w:num w:numId="16">
    <w:abstractNumId w:val="29"/>
  </w:num>
  <w:num w:numId="17">
    <w:abstractNumId w:val="24"/>
  </w:num>
  <w:num w:numId="18">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4"/>
    <w:lvlOverride w:ilvl="0">
      <w:lvl w:ilvl="0">
        <w:numFmt w:val="decimal"/>
        <w:lvlText w:val="%1."/>
        <w:lvlJc w:val="left"/>
      </w:lvl>
    </w:lvlOverride>
  </w:num>
  <w:num w:numId="20">
    <w:abstractNumId w:val="7"/>
  </w:num>
  <w:num w:numId="21">
    <w:abstractNumId w:val="7"/>
  </w:num>
  <w:num w:numId="22">
    <w:abstractNumId w:val="26"/>
  </w:num>
  <w:num w:numId="23">
    <w:abstractNumId w:val="27"/>
  </w:num>
  <w:num w:numId="24">
    <w:abstractNumId w:val="18"/>
  </w:num>
  <w:num w:numId="25">
    <w:abstractNumId w:val="5"/>
  </w:num>
  <w:num w:numId="26">
    <w:abstractNumId w:val="5"/>
  </w:num>
  <w:num w:numId="27">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23"/>
  </w:num>
  <w:num w:numId="29">
    <w:abstractNumId w:val="23"/>
  </w:num>
  <w:num w:numId="30">
    <w:abstractNumId w:val="13"/>
  </w:num>
  <w:num w:numId="31">
    <w:abstractNumId w:val="16"/>
  </w:num>
  <w:num w:numId="32">
    <w:abstractNumId w:val="17"/>
    <w:lvlOverride w:ilvl="0">
      <w:lvl w:ilvl="0">
        <w:numFmt w:val="decimal"/>
        <w:lvlText w:val="%1."/>
        <w:lvlJc w:val="left"/>
      </w:lvl>
    </w:lvlOverride>
  </w:num>
  <w:num w:numId="33">
    <w:abstractNumId w:val="17"/>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4">
    <w:abstractNumId w:val="17"/>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5">
    <w:abstractNumId w:val="17"/>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6">
    <w:abstractNumId w:val="17"/>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7">
    <w:abstractNumId w:val="22"/>
  </w:num>
  <w:num w:numId="38">
    <w:abstractNumId w:val="21"/>
  </w:num>
  <w:num w:numId="39">
    <w:abstractNumId w:val="6"/>
  </w:num>
  <w:num w:numId="40">
    <w:abstractNumId w:val="1"/>
  </w:num>
  <w:num w:numId="41">
    <w:abstractNumId w:val="20"/>
  </w:num>
  <w:num w:numId="42">
    <w:abstractNumId w:val="2"/>
  </w:num>
  <w:num w:numId="43">
    <w:abstractNumId w:val="1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605"/>
    <w:rsid w:val="0002492E"/>
    <w:rsid w:val="00025D51"/>
    <w:rsid w:val="00083BAA"/>
    <w:rsid w:val="000D4D85"/>
    <w:rsid w:val="001133C6"/>
    <w:rsid w:val="00136D85"/>
    <w:rsid w:val="001766D6"/>
    <w:rsid w:val="00187CE0"/>
    <w:rsid w:val="001A6BC8"/>
    <w:rsid w:val="001B0FAA"/>
    <w:rsid w:val="001B546C"/>
    <w:rsid w:val="001E48D1"/>
    <w:rsid w:val="00217EA1"/>
    <w:rsid w:val="0024430B"/>
    <w:rsid w:val="00260E53"/>
    <w:rsid w:val="002920BC"/>
    <w:rsid w:val="00295B2C"/>
    <w:rsid w:val="002A12E1"/>
    <w:rsid w:val="002C6D76"/>
    <w:rsid w:val="002D6EB2"/>
    <w:rsid w:val="003200F6"/>
    <w:rsid w:val="003444BE"/>
    <w:rsid w:val="00366F36"/>
    <w:rsid w:val="00382151"/>
    <w:rsid w:val="00383406"/>
    <w:rsid w:val="003936EF"/>
    <w:rsid w:val="003A5D50"/>
    <w:rsid w:val="003B163B"/>
    <w:rsid w:val="003C4566"/>
    <w:rsid w:val="003D17A6"/>
    <w:rsid w:val="003D6F71"/>
    <w:rsid w:val="003E24DF"/>
    <w:rsid w:val="003E2A2B"/>
    <w:rsid w:val="00441E8F"/>
    <w:rsid w:val="00442605"/>
    <w:rsid w:val="00457D0D"/>
    <w:rsid w:val="004658FC"/>
    <w:rsid w:val="00475F00"/>
    <w:rsid w:val="00484CFF"/>
    <w:rsid w:val="004A2B0D"/>
    <w:rsid w:val="004A34B0"/>
    <w:rsid w:val="00500672"/>
    <w:rsid w:val="0050281B"/>
    <w:rsid w:val="0051319D"/>
    <w:rsid w:val="00536603"/>
    <w:rsid w:val="0054416D"/>
    <w:rsid w:val="00563742"/>
    <w:rsid w:val="00564809"/>
    <w:rsid w:val="00597E25"/>
    <w:rsid w:val="005C2210"/>
    <w:rsid w:val="005D7C41"/>
    <w:rsid w:val="00615018"/>
    <w:rsid w:val="0062123A"/>
    <w:rsid w:val="00621988"/>
    <w:rsid w:val="00641AB4"/>
    <w:rsid w:val="00646E75"/>
    <w:rsid w:val="00685E27"/>
    <w:rsid w:val="006F0BA3"/>
    <w:rsid w:val="006F6F10"/>
    <w:rsid w:val="006F7573"/>
    <w:rsid w:val="00783E79"/>
    <w:rsid w:val="007B5AE8"/>
    <w:rsid w:val="007B7982"/>
    <w:rsid w:val="007C5AE2"/>
    <w:rsid w:val="007D65E0"/>
    <w:rsid w:val="007E2370"/>
    <w:rsid w:val="007F5192"/>
    <w:rsid w:val="007F692C"/>
    <w:rsid w:val="008A0A28"/>
    <w:rsid w:val="008A1E63"/>
    <w:rsid w:val="008A71BC"/>
    <w:rsid w:val="008C1DD4"/>
    <w:rsid w:val="008E685F"/>
    <w:rsid w:val="008E7A94"/>
    <w:rsid w:val="0090586D"/>
    <w:rsid w:val="00941A60"/>
    <w:rsid w:val="00967508"/>
    <w:rsid w:val="009B68DD"/>
    <w:rsid w:val="009C37F4"/>
    <w:rsid w:val="009D12DE"/>
    <w:rsid w:val="009F7FC2"/>
    <w:rsid w:val="00A11A20"/>
    <w:rsid w:val="00A44564"/>
    <w:rsid w:val="00A45C3E"/>
    <w:rsid w:val="00A644EB"/>
    <w:rsid w:val="00A96CF8"/>
    <w:rsid w:val="00AB4269"/>
    <w:rsid w:val="00AB4F8E"/>
    <w:rsid w:val="00AB7875"/>
    <w:rsid w:val="00B06DB0"/>
    <w:rsid w:val="00B214DB"/>
    <w:rsid w:val="00B27038"/>
    <w:rsid w:val="00B40B91"/>
    <w:rsid w:val="00B46C77"/>
    <w:rsid w:val="00B50294"/>
    <w:rsid w:val="00B82821"/>
    <w:rsid w:val="00B94416"/>
    <w:rsid w:val="00BB6F89"/>
    <w:rsid w:val="00BE4563"/>
    <w:rsid w:val="00C01E13"/>
    <w:rsid w:val="00C0712D"/>
    <w:rsid w:val="00C70786"/>
    <w:rsid w:val="00C8222A"/>
    <w:rsid w:val="00C97D46"/>
    <w:rsid w:val="00D13EBF"/>
    <w:rsid w:val="00D257DA"/>
    <w:rsid w:val="00D26302"/>
    <w:rsid w:val="00D45945"/>
    <w:rsid w:val="00D66593"/>
    <w:rsid w:val="00D82CDB"/>
    <w:rsid w:val="00DD6262"/>
    <w:rsid w:val="00E160E8"/>
    <w:rsid w:val="00E27B46"/>
    <w:rsid w:val="00E4208D"/>
    <w:rsid w:val="00E424DD"/>
    <w:rsid w:val="00E55B02"/>
    <w:rsid w:val="00E55D74"/>
    <w:rsid w:val="00E6540C"/>
    <w:rsid w:val="00E81B9D"/>
    <w:rsid w:val="00E81E2A"/>
    <w:rsid w:val="00E834B7"/>
    <w:rsid w:val="00EE0952"/>
    <w:rsid w:val="00EE213F"/>
    <w:rsid w:val="00EE2F88"/>
    <w:rsid w:val="00EE3A85"/>
    <w:rsid w:val="00EF1E84"/>
    <w:rsid w:val="00F068C9"/>
    <w:rsid w:val="00F27EE1"/>
    <w:rsid w:val="00F539D7"/>
    <w:rsid w:val="00F54C0B"/>
    <w:rsid w:val="00F67E1D"/>
    <w:rsid w:val="00F74662"/>
    <w:rsid w:val="00FC2BAA"/>
    <w:rsid w:val="00FD1AD3"/>
    <w:rsid w:val="00FE0F43"/>
    <w:rsid w:val="00FE5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36562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AA"/>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1B0FAA"/>
    <w:pPr>
      <w:spacing w:before="0" w:after="360" w:line="240" w:lineRule="auto"/>
      <w:contextualSpacing/>
      <w:jc w:val="center"/>
      <w:outlineLvl w:val="0"/>
    </w:pPr>
    <w:rPr>
      <w:rFonts w:ascii="Arial" w:eastAsiaTheme="majorEastAsia" w:hAnsi="Arial" w:cstheme="majorBidi"/>
      <w:b/>
      <w:caps/>
      <w:color w:val="001747" w:themeColor="accent1" w:themeShade="BF"/>
      <w:sz w:val="28"/>
    </w:rPr>
  </w:style>
  <w:style w:type="paragraph" w:styleId="Heading2">
    <w:name w:val="heading 2"/>
    <w:basedOn w:val="Normal"/>
    <w:next w:val="Normal"/>
    <w:link w:val="Heading2Char"/>
    <w:uiPriority w:val="9"/>
    <w:unhideWhenUsed/>
    <w:qFormat/>
    <w:rsid w:val="00457D0D"/>
    <w:pPr>
      <w:keepNext/>
      <w:keepLines/>
      <w:spacing w:after="0"/>
      <w:outlineLvl w:val="1"/>
    </w:pPr>
    <w:rPr>
      <w:rFonts w:ascii="Arial" w:eastAsiaTheme="majorEastAsia" w:hAnsi="Arial" w:cstheme="majorBidi"/>
      <w:b/>
      <w:color w:val="417A84" w:themeColor="accent5"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1B0FAA"/>
    <w:rPr>
      <w:rFonts w:ascii="Arial" w:eastAsiaTheme="majorEastAsia" w:hAnsi="Arial" w:cstheme="majorBidi"/>
      <w:b/>
      <w:caps/>
      <w:color w:val="001747" w:themeColor="accent1" w:themeShade="BF"/>
      <w:kern w:val="20"/>
      <w:sz w:val="28"/>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57D0D"/>
    <w:rPr>
      <w:rFonts w:ascii="Arial" w:eastAsiaTheme="majorEastAsia" w:hAnsi="Arial" w:cstheme="majorBidi"/>
      <w:b/>
      <w:color w:val="417A84" w:themeColor="accent5" w:themeShade="BF"/>
      <w:kern w:val="20"/>
      <w:sz w:val="28"/>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988"/>
    <w:rPr>
      <w:color w:val="9454C3" w:themeColor="hyperlink"/>
      <w:u w:val="single"/>
    </w:rPr>
  </w:style>
  <w:style w:type="paragraph" w:styleId="ListParagraph">
    <w:name w:val="List Paragraph"/>
    <w:basedOn w:val="Normal"/>
    <w:uiPriority w:val="34"/>
    <w:semiHidden/>
    <w:rsid w:val="001133C6"/>
    <w:pPr>
      <w:ind w:left="720"/>
      <w:contextualSpacing/>
    </w:pPr>
  </w:style>
  <w:style w:type="character" w:styleId="CommentReference">
    <w:name w:val="annotation reference"/>
    <w:basedOn w:val="DefaultParagraphFont"/>
    <w:uiPriority w:val="99"/>
    <w:semiHidden/>
    <w:unhideWhenUsed/>
    <w:rsid w:val="00BB6F89"/>
    <w:rPr>
      <w:sz w:val="16"/>
      <w:szCs w:val="16"/>
    </w:rPr>
  </w:style>
  <w:style w:type="paragraph" w:styleId="CommentText">
    <w:name w:val="annotation text"/>
    <w:basedOn w:val="Normal"/>
    <w:link w:val="CommentTextChar"/>
    <w:uiPriority w:val="99"/>
    <w:semiHidden/>
    <w:unhideWhenUsed/>
    <w:rsid w:val="00BB6F89"/>
    <w:pPr>
      <w:spacing w:line="240" w:lineRule="auto"/>
    </w:pPr>
  </w:style>
  <w:style w:type="character" w:customStyle="1" w:styleId="CommentTextChar">
    <w:name w:val="Comment Text Char"/>
    <w:basedOn w:val="DefaultParagraphFont"/>
    <w:link w:val="CommentText"/>
    <w:uiPriority w:val="99"/>
    <w:semiHidden/>
    <w:rsid w:val="00BB6F89"/>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BB6F89"/>
    <w:rPr>
      <w:b/>
      <w:bCs/>
    </w:rPr>
  </w:style>
  <w:style w:type="character" w:customStyle="1" w:styleId="CommentSubjectChar">
    <w:name w:val="Comment Subject Char"/>
    <w:basedOn w:val="CommentTextChar"/>
    <w:link w:val="CommentSubject"/>
    <w:uiPriority w:val="99"/>
    <w:semiHidden/>
    <w:rsid w:val="00BB6F89"/>
    <w:rPr>
      <w:rFonts w:eastAsiaTheme="minorHAnsi"/>
      <w:b/>
      <w:bCs/>
      <w:color w:val="595959" w:themeColor="text1" w:themeTint="A6"/>
      <w:kern w:val="20"/>
      <w:sz w:val="20"/>
      <w:szCs w:val="20"/>
    </w:rPr>
  </w:style>
  <w:style w:type="paragraph" w:styleId="BalloonText">
    <w:name w:val="Balloon Text"/>
    <w:basedOn w:val="Normal"/>
    <w:link w:val="BalloonTextChar"/>
    <w:uiPriority w:val="99"/>
    <w:semiHidden/>
    <w:unhideWhenUsed/>
    <w:rsid w:val="00BB6F8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9"/>
    <w:rPr>
      <w:rFonts w:ascii="Segoe UI" w:eastAsiaTheme="minorHAnsi" w:hAnsi="Segoe UI" w:cs="Segoe UI"/>
      <w:color w:val="595959" w:themeColor="text1" w:themeTint="A6"/>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439238">
      <w:bodyDiv w:val="1"/>
      <w:marLeft w:val="0"/>
      <w:marRight w:val="0"/>
      <w:marTop w:val="0"/>
      <w:marBottom w:val="0"/>
      <w:divBdr>
        <w:top w:val="none" w:sz="0" w:space="0" w:color="auto"/>
        <w:left w:val="none" w:sz="0" w:space="0" w:color="auto"/>
        <w:bottom w:val="none" w:sz="0" w:space="0" w:color="auto"/>
        <w:right w:val="none" w:sz="0" w:space="0" w:color="auto"/>
      </w:divBdr>
    </w:div>
    <w:div w:id="786238663">
      <w:bodyDiv w:val="1"/>
      <w:marLeft w:val="0"/>
      <w:marRight w:val="0"/>
      <w:marTop w:val="0"/>
      <w:marBottom w:val="0"/>
      <w:divBdr>
        <w:top w:val="none" w:sz="0" w:space="0" w:color="auto"/>
        <w:left w:val="none" w:sz="0" w:space="0" w:color="auto"/>
        <w:bottom w:val="none" w:sz="0" w:space="0" w:color="auto"/>
        <w:right w:val="none" w:sz="0" w:space="0" w:color="auto"/>
      </w:divBdr>
    </w:div>
    <w:div w:id="1285959288">
      <w:bodyDiv w:val="1"/>
      <w:marLeft w:val="0"/>
      <w:marRight w:val="0"/>
      <w:marTop w:val="0"/>
      <w:marBottom w:val="0"/>
      <w:divBdr>
        <w:top w:val="none" w:sz="0" w:space="0" w:color="auto"/>
        <w:left w:val="none" w:sz="0" w:space="0" w:color="auto"/>
        <w:bottom w:val="none" w:sz="0" w:space="0" w:color="auto"/>
        <w:right w:val="none" w:sz="0" w:space="0" w:color="auto"/>
      </w:divBdr>
    </w:div>
    <w:div w:id="186929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FR-2020-02-28/pdf/2020-03208.pdf" TargetMode="External"/><Relationship Id="rId18" Type="http://schemas.openxmlformats.org/officeDocument/2006/relationships/hyperlink" Target="https://www.parentcenterhub.org/find-your-cente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rsa.ed.gov/sites/default/files/subregulatory/rsa-faq-pre-employment-transition-services-04-13-2016.pdf" TargetMode="External"/><Relationship Id="rId17" Type="http://schemas.openxmlformats.org/officeDocument/2006/relationships/hyperlink" Target="https://rsa.ed.gov/sites/default/files/subregulatory/rsa-faq-pre-employment-transition-services-04-13-2016.pdf" TargetMode="External"/><Relationship Id="rId2" Type="http://schemas.openxmlformats.org/officeDocument/2006/relationships/customXml" Target="../customXml/item2.xml"/><Relationship Id="rId16" Type="http://schemas.openxmlformats.org/officeDocument/2006/relationships/hyperlink" Target="http://wintac-s3.s3-us-west-2.amazonaws.com/topic-areas/ta01-pre-ets/VRED-GUIDE-WINTAC-FINAL.pdf" TargetMode="External"/><Relationship Id="rId20" Type="http://schemas.openxmlformats.org/officeDocument/2006/relationships/hyperlink" Target="https://www.govinfo.gov/content/pkg/FR-2020-02-28/pdf/2020-0320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a.ed.gov/sites/default/files/subregulatory/rsa-faq-pre-employment-transition-services-04-13-2016.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intac.org/topic-areas/pre-employment-transition-services/resources/process-determining-if-agency-can-move-required-pre-employment-transition-services-authorized-activit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nks.gd/l/eyJhbGciOiJIUzI1NiJ9.eyJidWxsZXRpbl9saW5rX2lkIjoxMDAsInVyaSI6ImJwMjpjbGljayIsImJ1bGxldGluX2lkIjoiMjAyMDEwMTYuMjg4NzI5MjEiLCJ1cmwiOiJodHRwczovL3JzYS5lZC5nb3Yvc2l0ZXMvZGVmYXVsdC9maWxlcy9zdWJyZWd1bGF0b3J5LzIwLTAyNTcuUlNBJTIwQ09WSUQtMTklMjBGQVElMjAlMjhCYXRjaCUyMDQlMjkuRmluYWwlMjAlMjgwMDIlMjkucGRmIn0.7G_krWQD9FnQmOKqqPg5vYviXu6fCHUIAqh_OEkkYdw/s/951677884/br/87011132570-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a.ed.gov/sites/default/files/subregulatory/rsa-faq-pre-employment-transition-services-04-13-2016.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simmons\AppData\Roaming\Microsoft\Templates\Bold%20logo%20letterhead.dotx" TargetMode="Externa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242852"/>
      </a:dk2>
      <a:lt2>
        <a:srgbClr val="ACCBF9"/>
      </a:lt2>
      <a:accent1>
        <a:srgbClr val="002060"/>
      </a:accent1>
      <a:accent2>
        <a:srgbClr val="FFFFFF"/>
      </a:accent2>
      <a:accent3>
        <a:srgbClr val="0E57C4"/>
      </a:accent3>
      <a:accent4>
        <a:srgbClr val="7F8FA9"/>
      </a:accent4>
      <a:accent5>
        <a:srgbClr val="5AA2AE"/>
      </a:accent5>
      <a:accent6>
        <a:srgbClr val="9D90A0"/>
      </a:accent6>
      <a:hlink>
        <a:srgbClr val="9454C3"/>
      </a:hlink>
      <a:folHlink>
        <a:srgbClr val="3EBBF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DA36D-70A1-411C-85E0-469DFBE171E1}">
  <ds:schemaRefs>
    <ds:schemaRef ds:uri="http://schemas.openxmlformats.org/officeDocument/2006/bibliography"/>
  </ds:schemaRefs>
</ds:datastoreItem>
</file>

<file path=customXml/itemProps3.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4.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Bold logo letterhead.dotx</Template>
  <TotalTime>0</TotalTime>
  <Pages>8</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2021-03-11T22:10:00Z</dcterms:created>
  <dcterms:modified xsi:type="dcterms:W3CDTF">2021-03-17T21:14:00Z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